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6E" w:rsidRPr="008E2873" w:rsidRDefault="000E666E" w:rsidP="000E666E">
      <w:pPr>
        <w:jc w:val="center"/>
        <w:rPr>
          <w:b/>
          <w:sz w:val="32"/>
          <w:szCs w:val="32"/>
        </w:rPr>
      </w:pPr>
      <w:r w:rsidRPr="008E2873">
        <w:rPr>
          <w:b/>
          <w:sz w:val="32"/>
          <w:szCs w:val="32"/>
        </w:rPr>
        <w:t>林芝经济开发区规划</w:t>
      </w:r>
    </w:p>
    <w:p w:rsidR="00DF080D" w:rsidRPr="008E2873" w:rsidRDefault="000E666E" w:rsidP="000E666E">
      <w:pPr>
        <w:jc w:val="center"/>
        <w:rPr>
          <w:b/>
          <w:sz w:val="32"/>
          <w:szCs w:val="32"/>
        </w:rPr>
      </w:pPr>
      <w:r w:rsidRPr="008E2873">
        <w:rPr>
          <w:b/>
          <w:sz w:val="32"/>
          <w:szCs w:val="32"/>
        </w:rPr>
        <w:t>环</w:t>
      </w:r>
      <w:bookmarkStart w:id="0" w:name="_GoBack"/>
      <w:bookmarkEnd w:id="0"/>
      <w:r w:rsidRPr="008E2873">
        <w:rPr>
          <w:b/>
          <w:sz w:val="32"/>
          <w:szCs w:val="32"/>
        </w:rPr>
        <w:t>境影响报告书</w:t>
      </w:r>
      <w:r w:rsidR="008E2873" w:rsidRPr="008E2873">
        <w:rPr>
          <w:rFonts w:hint="eastAsia"/>
          <w:b/>
          <w:sz w:val="32"/>
          <w:szCs w:val="32"/>
        </w:rPr>
        <w:t>（简本）</w:t>
      </w:r>
      <w:r w:rsidRPr="008E2873">
        <w:rPr>
          <w:b/>
          <w:sz w:val="32"/>
          <w:szCs w:val="32"/>
        </w:rPr>
        <w:t>公示</w:t>
      </w:r>
    </w:p>
    <w:p w:rsidR="000E666E" w:rsidRPr="008E2873" w:rsidRDefault="000E666E" w:rsidP="001E5649">
      <w:pPr>
        <w:pStyle w:val="1"/>
        <w:spacing w:before="120" w:after="120" w:line="360" w:lineRule="auto"/>
        <w:rPr>
          <w:sz w:val="28"/>
          <w:szCs w:val="28"/>
        </w:rPr>
      </w:pPr>
      <w:r w:rsidRPr="008E2873">
        <w:rPr>
          <w:sz w:val="28"/>
          <w:szCs w:val="28"/>
        </w:rPr>
        <w:t>一、规划背景</w:t>
      </w:r>
    </w:p>
    <w:p w:rsidR="00BF65A3" w:rsidRPr="008E2873" w:rsidRDefault="00BF65A3" w:rsidP="00BF65A3">
      <w:pPr>
        <w:spacing w:line="360" w:lineRule="auto"/>
        <w:ind w:firstLineChars="200" w:firstLine="480"/>
        <w:rPr>
          <w:sz w:val="24"/>
        </w:rPr>
      </w:pPr>
      <w:r w:rsidRPr="008E2873">
        <w:rPr>
          <w:sz w:val="24"/>
        </w:rPr>
        <w:t>2015</w:t>
      </w:r>
      <w:r w:rsidRPr="008E2873">
        <w:rPr>
          <w:sz w:val="24"/>
        </w:rPr>
        <w:t>年成立林芝地区经开区筹建工作领导小组，在工作领导小组的指导下，经开区四年来做了大量的前期工作，最终于</w:t>
      </w:r>
      <w:r w:rsidRPr="008E2873">
        <w:rPr>
          <w:sz w:val="24"/>
        </w:rPr>
        <w:t>2018</w:t>
      </w:r>
      <w:r w:rsidRPr="008E2873">
        <w:rPr>
          <w:sz w:val="24"/>
        </w:rPr>
        <w:t>年</w:t>
      </w:r>
      <w:r w:rsidRPr="008E2873">
        <w:rPr>
          <w:sz w:val="24"/>
        </w:rPr>
        <w:t>11</w:t>
      </w:r>
      <w:r w:rsidRPr="008E2873">
        <w:rPr>
          <w:sz w:val="24"/>
        </w:rPr>
        <w:t>月，中外建华诚城市建筑规划设计有限公司编制完成了《林芝经济开发区控制性详细规划》，总规划面积</w:t>
      </w:r>
      <w:r w:rsidRPr="008E2873">
        <w:rPr>
          <w:sz w:val="24"/>
        </w:rPr>
        <w:t>7.46km</w:t>
      </w:r>
      <w:r w:rsidRPr="008E2873">
        <w:rPr>
          <w:sz w:val="24"/>
          <w:vertAlign w:val="superscript"/>
        </w:rPr>
        <w:t>2</w:t>
      </w:r>
      <w:r w:rsidRPr="008E2873">
        <w:rPr>
          <w:sz w:val="24"/>
        </w:rPr>
        <w:t>（其中永久片区面积</w:t>
      </w:r>
      <w:r w:rsidRPr="008E2873">
        <w:rPr>
          <w:sz w:val="24"/>
        </w:rPr>
        <w:t>6.35km</w:t>
      </w:r>
      <w:r w:rsidRPr="008E2873">
        <w:rPr>
          <w:sz w:val="24"/>
          <w:vertAlign w:val="superscript"/>
        </w:rPr>
        <w:t>2</w:t>
      </w:r>
      <w:r w:rsidRPr="008E2873">
        <w:rPr>
          <w:sz w:val="24"/>
        </w:rPr>
        <w:t>，结麦片区</w:t>
      </w:r>
      <w:r w:rsidRPr="008E2873">
        <w:rPr>
          <w:sz w:val="24"/>
        </w:rPr>
        <w:t>1.11km</w:t>
      </w:r>
      <w:r w:rsidRPr="008E2873">
        <w:rPr>
          <w:sz w:val="24"/>
          <w:vertAlign w:val="superscript"/>
        </w:rPr>
        <w:t>2</w:t>
      </w:r>
      <w:r w:rsidRPr="008E2873">
        <w:rPr>
          <w:sz w:val="24"/>
        </w:rPr>
        <w:t>）。</w:t>
      </w:r>
    </w:p>
    <w:p w:rsidR="00BF65A3" w:rsidRPr="008E2873" w:rsidRDefault="00BF65A3" w:rsidP="00BF65A3">
      <w:pPr>
        <w:spacing w:line="360" w:lineRule="auto"/>
        <w:ind w:firstLineChars="200" w:firstLine="480"/>
        <w:rPr>
          <w:sz w:val="24"/>
        </w:rPr>
      </w:pPr>
      <w:r w:rsidRPr="008E2873">
        <w:rPr>
          <w:sz w:val="24"/>
        </w:rPr>
        <w:t>由于总规划面积</w:t>
      </w:r>
      <w:r w:rsidRPr="008E2873">
        <w:rPr>
          <w:sz w:val="24"/>
        </w:rPr>
        <w:t>7.46km</w:t>
      </w:r>
      <w:r w:rsidRPr="008E2873">
        <w:rPr>
          <w:sz w:val="24"/>
          <w:vertAlign w:val="superscript"/>
        </w:rPr>
        <w:t>2</w:t>
      </w:r>
      <w:r w:rsidRPr="008E2873">
        <w:rPr>
          <w:rFonts w:hint="eastAsia"/>
          <w:sz w:val="24"/>
        </w:rPr>
        <w:t>的</w:t>
      </w:r>
      <w:r w:rsidRPr="008E2873">
        <w:rPr>
          <w:sz w:val="24"/>
        </w:rPr>
        <w:t>林芝经济开发区</w:t>
      </w:r>
      <w:r w:rsidRPr="008E2873">
        <w:rPr>
          <w:rFonts w:hint="eastAsia"/>
          <w:sz w:val="24"/>
        </w:rPr>
        <w:t>规划</w:t>
      </w:r>
      <w:r w:rsidRPr="008E2873">
        <w:rPr>
          <w:sz w:val="24"/>
        </w:rPr>
        <w:t>涉及西藏比日神山国家森林公园，</w:t>
      </w:r>
      <w:r w:rsidRPr="008E2873">
        <w:rPr>
          <w:sz w:val="24"/>
        </w:rPr>
        <w:t>2019</w:t>
      </w:r>
      <w:r w:rsidRPr="008E2873">
        <w:rPr>
          <w:sz w:val="24"/>
        </w:rPr>
        <w:t>年林芝市人民政府下发了《关于调整林芝经济开发区面积和范围的批复》（林政函【</w:t>
      </w:r>
      <w:r w:rsidRPr="008E2873">
        <w:rPr>
          <w:sz w:val="24"/>
        </w:rPr>
        <w:t>2019</w:t>
      </w:r>
      <w:r w:rsidRPr="008E2873">
        <w:rPr>
          <w:sz w:val="24"/>
        </w:rPr>
        <w:t>】</w:t>
      </w:r>
      <w:r w:rsidRPr="008E2873">
        <w:rPr>
          <w:sz w:val="24"/>
        </w:rPr>
        <w:t>171</w:t>
      </w:r>
      <w:r w:rsidRPr="008E2873">
        <w:rPr>
          <w:sz w:val="24"/>
        </w:rPr>
        <w:t>号），将林芝天禾啤酒厂和西藏欧林生物质能有限公司</w:t>
      </w:r>
      <w:r w:rsidRPr="008E2873">
        <w:rPr>
          <w:rFonts w:hint="eastAsia"/>
          <w:sz w:val="24"/>
        </w:rPr>
        <w:t>等涉及比日神山国家森林公园的用地</w:t>
      </w:r>
      <w:r w:rsidRPr="008E2873">
        <w:rPr>
          <w:sz w:val="24"/>
        </w:rPr>
        <w:t>调出林芝经济开发区范围，林芝经济开发区面积由</w:t>
      </w:r>
      <w:r w:rsidRPr="008E2873">
        <w:rPr>
          <w:sz w:val="24"/>
        </w:rPr>
        <w:t>7.46 km</w:t>
      </w:r>
      <w:r w:rsidRPr="008E2873">
        <w:rPr>
          <w:sz w:val="24"/>
          <w:vertAlign w:val="superscript"/>
        </w:rPr>
        <w:t>2</w:t>
      </w:r>
      <w:r w:rsidRPr="008E2873">
        <w:rPr>
          <w:sz w:val="24"/>
        </w:rPr>
        <w:t>调整为</w:t>
      </w:r>
      <w:r w:rsidRPr="008E2873">
        <w:rPr>
          <w:sz w:val="24"/>
        </w:rPr>
        <w:t>7.11km</w:t>
      </w:r>
      <w:r w:rsidRPr="008E2873">
        <w:rPr>
          <w:sz w:val="24"/>
          <w:vertAlign w:val="superscript"/>
        </w:rPr>
        <w:t>2</w:t>
      </w:r>
      <w:r w:rsidRPr="008E2873">
        <w:rPr>
          <w:sz w:val="24"/>
        </w:rPr>
        <w:t>（其中永久片区面积</w:t>
      </w:r>
      <w:r w:rsidRPr="008E2873">
        <w:rPr>
          <w:sz w:val="24"/>
        </w:rPr>
        <w:t>6km</w:t>
      </w:r>
      <w:r w:rsidRPr="008E2873">
        <w:rPr>
          <w:sz w:val="24"/>
          <w:vertAlign w:val="superscript"/>
        </w:rPr>
        <w:t>2</w:t>
      </w:r>
      <w:r w:rsidRPr="008E2873">
        <w:rPr>
          <w:sz w:val="24"/>
        </w:rPr>
        <w:t>，结麦片区</w:t>
      </w:r>
      <w:r w:rsidRPr="008E2873">
        <w:rPr>
          <w:sz w:val="24"/>
        </w:rPr>
        <w:t>1.11km</w:t>
      </w:r>
      <w:r w:rsidRPr="008E2873">
        <w:rPr>
          <w:sz w:val="24"/>
          <w:vertAlign w:val="superscript"/>
        </w:rPr>
        <w:t>2</w:t>
      </w:r>
      <w:r w:rsidRPr="008E2873">
        <w:rPr>
          <w:sz w:val="24"/>
        </w:rPr>
        <w:t>）。同时，中外建华诚城市建筑规划设计有限公司按调整后的范围调整修编了《林芝经济开发区控制性详细规划》</w:t>
      </w:r>
      <w:r w:rsidRPr="008E2873">
        <w:rPr>
          <w:rFonts w:hint="eastAsia"/>
          <w:sz w:val="24"/>
        </w:rPr>
        <w:t>，调整后</w:t>
      </w:r>
      <w:r w:rsidRPr="008E2873">
        <w:rPr>
          <w:sz w:val="24"/>
        </w:rPr>
        <w:t>总规划面积</w:t>
      </w:r>
      <w:r w:rsidRPr="008E2873">
        <w:rPr>
          <w:rFonts w:hint="eastAsia"/>
          <w:sz w:val="24"/>
        </w:rPr>
        <w:t>为</w:t>
      </w:r>
      <w:r w:rsidRPr="008E2873">
        <w:rPr>
          <w:sz w:val="24"/>
        </w:rPr>
        <w:t>7.</w:t>
      </w:r>
      <w:r w:rsidRPr="008E2873">
        <w:rPr>
          <w:rFonts w:hint="eastAsia"/>
          <w:sz w:val="24"/>
        </w:rPr>
        <w:t>11</w:t>
      </w:r>
      <w:r w:rsidRPr="008E2873">
        <w:rPr>
          <w:sz w:val="24"/>
        </w:rPr>
        <w:t>km</w:t>
      </w:r>
      <w:r w:rsidRPr="008E2873">
        <w:rPr>
          <w:sz w:val="24"/>
          <w:vertAlign w:val="superscript"/>
        </w:rPr>
        <w:t>2</w:t>
      </w:r>
      <w:r w:rsidRPr="008E2873">
        <w:rPr>
          <w:rFonts w:hint="eastAsia"/>
          <w:sz w:val="24"/>
        </w:rPr>
        <w:t>的林芝经济开发区范围不涉及比日神山国家森林公园，距离国家森林公园最近距离</w:t>
      </w:r>
      <w:r w:rsidRPr="008E2873">
        <w:rPr>
          <w:rFonts w:hint="eastAsia"/>
          <w:sz w:val="24"/>
        </w:rPr>
        <w:t>5m</w:t>
      </w:r>
      <w:r w:rsidRPr="008E2873">
        <w:rPr>
          <w:sz w:val="24"/>
        </w:rPr>
        <w:t>。</w:t>
      </w:r>
      <w:r w:rsidRPr="008E2873">
        <w:rPr>
          <w:rFonts w:hint="eastAsia"/>
          <w:sz w:val="24"/>
        </w:rPr>
        <w:t>根据最新规划，</w:t>
      </w:r>
      <w:r w:rsidRPr="008E2873">
        <w:rPr>
          <w:rFonts w:hint="eastAsia"/>
          <w:b/>
          <w:sz w:val="24"/>
          <w:u w:val="single"/>
        </w:rPr>
        <w:t>林芝经济开发区</w:t>
      </w:r>
      <w:r w:rsidRPr="008E2873">
        <w:rPr>
          <w:b/>
          <w:sz w:val="24"/>
          <w:u w:val="single"/>
        </w:rPr>
        <w:t>规划范围：北临林芝天禾啤酒厂，南临通热路，西临</w:t>
      </w:r>
      <w:r w:rsidRPr="008E2873">
        <w:rPr>
          <w:b/>
          <w:sz w:val="24"/>
          <w:u w:val="single"/>
        </w:rPr>
        <w:t>306</w:t>
      </w:r>
      <w:r w:rsidRPr="008E2873">
        <w:rPr>
          <w:b/>
          <w:sz w:val="24"/>
          <w:u w:val="single"/>
        </w:rPr>
        <w:t>省道，东临尼洋河，总规划面积</w:t>
      </w:r>
      <w:r w:rsidRPr="008E2873">
        <w:rPr>
          <w:b/>
          <w:sz w:val="24"/>
          <w:u w:val="single"/>
        </w:rPr>
        <w:t>7.</w:t>
      </w:r>
      <w:r w:rsidRPr="008E2873">
        <w:rPr>
          <w:rFonts w:hint="eastAsia"/>
          <w:b/>
          <w:sz w:val="24"/>
          <w:u w:val="single"/>
        </w:rPr>
        <w:t>11</w:t>
      </w:r>
      <w:r w:rsidRPr="008E2873">
        <w:rPr>
          <w:b/>
          <w:sz w:val="24"/>
          <w:u w:val="single"/>
        </w:rPr>
        <w:t>km</w:t>
      </w:r>
      <w:r w:rsidRPr="008E2873">
        <w:rPr>
          <w:b/>
          <w:sz w:val="24"/>
          <w:u w:val="single"/>
          <w:vertAlign w:val="superscript"/>
        </w:rPr>
        <w:t>2</w:t>
      </w:r>
      <w:r w:rsidRPr="008E2873">
        <w:rPr>
          <w:b/>
          <w:sz w:val="24"/>
          <w:u w:val="single"/>
        </w:rPr>
        <w:t>（其中永久片区面积</w:t>
      </w:r>
      <w:r w:rsidRPr="008E2873">
        <w:rPr>
          <w:b/>
          <w:sz w:val="24"/>
          <w:u w:val="single"/>
        </w:rPr>
        <w:t>6 km</w:t>
      </w:r>
      <w:r w:rsidRPr="008E2873">
        <w:rPr>
          <w:b/>
          <w:sz w:val="24"/>
          <w:u w:val="single"/>
          <w:vertAlign w:val="superscript"/>
        </w:rPr>
        <w:t>2</w:t>
      </w:r>
      <w:r w:rsidRPr="008E2873">
        <w:rPr>
          <w:b/>
          <w:sz w:val="24"/>
          <w:u w:val="single"/>
        </w:rPr>
        <w:t>，结麦片区</w:t>
      </w:r>
      <w:r w:rsidRPr="008E2873">
        <w:rPr>
          <w:b/>
          <w:sz w:val="24"/>
          <w:u w:val="single"/>
        </w:rPr>
        <w:t>1.11km</w:t>
      </w:r>
      <w:r w:rsidRPr="008E2873">
        <w:rPr>
          <w:b/>
          <w:sz w:val="24"/>
          <w:u w:val="single"/>
          <w:vertAlign w:val="superscript"/>
        </w:rPr>
        <w:t>2</w:t>
      </w:r>
      <w:r w:rsidRPr="008E2873">
        <w:rPr>
          <w:b/>
          <w:sz w:val="24"/>
          <w:u w:val="single"/>
        </w:rPr>
        <w:t>）。产业定位为：生态旅游、清洁能源、生物医药。</w:t>
      </w:r>
    </w:p>
    <w:p w:rsidR="000E666E" w:rsidRPr="008E2873" w:rsidRDefault="000E666E" w:rsidP="001E5649">
      <w:pPr>
        <w:pStyle w:val="1"/>
        <w:spacing w:before="120" w:after="120" w:line="360" w:lineRule="auto"/>
        <w:rPr>
          <w:sz w:val="28"/>
          <w:szCs w:val="28"/>
        </w:rPr>
      </w:pPr>
      <w:r w:rsidRPr="008E2873">
        <w:rPr>
          <w:sz w:val="28"/>
          <w:szCs w:val="28"/>
        </w:rPr>
        <w:t>二</w:t>
      </w:r>
      <w:r w:rsidRPr="008E2873">
        <w:rPr>
          <w:rFonts w:hint="eastAsia"/>
          <w:sz w:val="28"/>
          <w:szCs w:val="28"/>
        </w:rPr>
        <w:t>、</w:t>
      </w:r>
      <w:r w:rsidRPr="008E2873">
        <w:rPr>
          <w:sz w:val="28"/>
          <w:szCs w:val="28"/>
        </w:rPr>
        <w:t>规划方案</w:t>
      </w:r>
    </w:p>
    <w:p w:rsidR="000E666E" w:rsidRPr="008E2873" w:rsidRDefault="000E666E" w:rsidP="000E666E">
      <w:pPr>
        <w:spacing w:line="360" w:lineRule="auto"/>
        <w:ind w:firstLineChars="200" w:firstLine="480"/>
        <w:rPr>
          <w:sz w:val="24"/>
        </w:rPr>
      </w:pPr>
      <w:r w:rsidRPr="008E2873">
        <w:rPr>
          <w:sz w:val="24"/>
        </w:rPr>
        <w:t>根据主导产业</w:t>
      </w:r>
      <w:r w:rsidRPr="008E2873">
        <w:rPr>
          <w:rFonts w:hint="eastAsia"/>
          <w:sz w:val="24"/>
        </w:rPr>
        <w:t>，</w:t>
      </w:r>
      <w:r w:rsidRPr="008E2873">
        <w:rPr>
          <w:sz w:val="24"/>
        </w:rPr>
        <w:t>规划区形成三大产业区</w:t>
      </w:r>
      <w:r w:rsidRPr="008E2873">
        <w:rPr>
          <w:rFonts w:hint="eastAsia"/>
          <w:sz w:val="24"/>
        </w:rPr>
        <w:t>：</w:t>
      </w:r>
      <w:r w:rsidRPr="008E2873">
        <w:rPr>
          <w:sz w:val="24"/>
        </w:rPr>
        <w:t>清洁能源产业园、现代服务产业园、生物科技产业园。</w:t>
      </w:r>
    </w:p>
    <w:p w:rsidR="000E666E" w:rsidRPr="008E2873" w:rsidRDefault="000E666E" w:rsidP="000E666E">
      <w:pPr>
        <w:spacing w:line="360" w:lineRule="auto"/>
        <w:ind w:firstLineChars="200" w:firstLine="482"/>
        <w:rPr>
          <w:b/>
          <w:sz w:val="24"/>
        </w:rPr>
      </w:pPr>
      <w:r w:rsidRPr="008E2873">
        <w:rPr>
          <w:rFonts w:hint="eastAsia"/>
          <w:b/>
          <w:sz w:val="24"/>
        </w:rPr>
        <w:t>1</w:t>
      </w:r>
      <w:r w:rsidRPr="008E2873">
        <w:rPr>
          <w:rFonts w:hint="eastAsia"/>
          <w:b/>
          <w:sz w:val="24"/>
        </w:rPr>
        <w:t>、清洁能源产业园</w:t>
      </w:r>
    </w:p>
    <w:p w:rsidR="000E666E" w:rsidRPr="008E2873" w:rsidRDefault="00405BDA" w:rsidP="000E666E">
      <w:pPr>
        <w:spacing w:line="360" w:lineRule="auto"/>
        <w:ind w:firstLineChars="200" w:firstLine="480"/>
        <w:rPr>
          <w:sz w:val="24"/>
        </w:rPr>
      </w:pPr>
      <w:r w:rsidRPr="008E2873">
        <w:rPr>
          <w:sz w:val="24"/>
        </w:rPr>
        <w:t>位于南粤大道沿线及南粤大道以西，</w:t>
      </w:r>
      <w:r w:rsidR="000E666E" w:rsidRPr="008E2873">
        <w:rPr>
          <w:sz w:val="24"/>
        </w:rPr>
        <w:t>定位以水电能源为主的清洁能源企业提供商务服务、产业运行平台、电子商务、居住和休闲娱乐服务。</w:t>
      </w:r>
    </w:p>
    <w:p w:rsidR="000E666E" w:rsidRPr="008E2873" w:rsidRDefault="000E666E" w:rsidP="000E666E">
      <w:pPr>
        <w:spacing w:line="360" w:lineRule="auto"/>
        <w:ind w:firstLineChars="200" w:firstLine="482"/>
        <w:rPr>
          <w:b/>
          <w:sz w:val="24"/>
        </w:rPr>
      </w:pPr>
      <w:r w:rsidRPr="008E2873">
        <w:rPr>
          <w:rFonts w:hint="eastAsia"/>
          <w:b/>
          <w:sz w:val="24"/>
        </w:rPr>
        <w:t>2</w:t>
      </w:r>
      <w:r w:rsidRPr="008E2873">
        <w:rPr>
          <w:rFonts w:hint="eastAsia"/>
          <w:b/>
          <w:sz w:val="24"/>
        </w:rPr>
        <w:t>、</w:t>
      </w:r>
      <w:r w:rsidRPr="008E2873">
        <w:rPr>
          <w:b/>
          <w:sz w:val="24"/>
        </w:rPr>
        <w:t>现代服务产业园</w:t>
      </w:r>
    </w:p>
    <w:p w:rsidR="000E666E" w:rsidRPr="008E2873" w:rsidRDefault="00405BDA" w:rsidP="000E666E">
      <w:pPr>
        <w:spacing w:line="360" w:lineRule="auto"/>
        <w:ind w:firstLineChars="200" w:firstLine="480"/>
        <w:rPr>
          <w:sz w:val="24"/>
        </w:rPr>
      </w:pPr>
      <w:r w:rsidRPr="008E2873">
        <w:rPr>
          <w:sz w:val="24"/>
        </w:rPr>
        <w:t>位于南粤大道东侧，</w:t>
      </w:r>
      <w:r w:rsidR="000E666E" w:rsidRPr="008E2873">
        <w:rPr>
          <w:sz w:val="24"/>
        </w:rPr>
        <w:t>构建以旅游服务为主的现代服务业集聚区，为清洁能源产业园的从业人员和到林芝进行旅游、商务活动的人士提供旅游物资集散和旅游</w:t>
      </w:r>
      <w:r w:rsidR="000E666E" w:rsidRPr="008E2873">
        <w:rPr>
          <w:sz w:val="24"/>
        </w:rPr>
        <w:lastRenderedPageBreak/>
        <w:t>人员集散服务，结合尼洋河景观带打造城市旅游景点，同时建设生态旅游和泛旅游企业发展孵化平台。</w:t>
      </w:r>
    </w:p>
    <w:p w:rsidR="000E666E" w:rsidRPr="008E2873" w:rsidRDefault="000E666E" w:rsidP="000E666E">
      <w:pPr>
        <w:spacing w:line="360" w:lineRule="auto"/>
        <w:ind w:firstLineChars="200" w:firstLine="482"/>
        <w:rPr>
          <w:b/>
          <w:sz w:val="24"/>
        </w:rPr>
      </w:pPr>
      <w:r w:rsidRPr="008E2873">
        <w:rPr>
          <w:rFonts w:hint="eastAsia"/>
          <w:b/>
          <w:sz w:val="24"/>
        </w:rPr>
        <w:t>3</w:t>
      </w:r>
      <w:r w:rsidRPr="008E2873">
        <w:rPr>
          <w:rFonts w:hint="eastAsia"/>
          <w:b/>
          <w:sz w:val="24"/>
        </w:rPr>
        <w:t>、</w:t>
      </w:r>
      <w:r w:rsidRPr="008E2873">
        <w:rPr>
          <w:b/>
          <w:sz w:val="24"/>
        </w:rPr>
        <w:t>生物科技产业园</w:t>
      </w:r>
    </w:p>
    <w:p w:rsidR="000E666E" w:rsidRPr="008E2873" w:rsidRDefault="00405BDA" w:rsidP="000E666E">
      <w:pPr>
        <w:spacing w:line="360" w:lineRule="auto"/>
        <w:ind w:firstLineChars="200" w:firstLine="480"/>
        <w:rPr>
          <w:sz w:val="24"/>
        </w:rPr>
      </w:pPr>
      <w:r w:rsidRPr="008E2873">
        <w:rPr>
          <w:sz w:val="24"/>
        </w:rPr>
        <w:t>位于南部结麦片区，</w:t>
      </w:r>
      <w:r w:rsidR="000E666E" w:rsidRPr="008E2873">
        <w:rPr>
          <w:sz w:val="24"/>
        </w:rPr>
        <w:t>定位为藏医藏药、生物医药、高原保健品、化妆品等生产园区，通过生物加工技术的引进，实现加工产业链研发和精深加工环节的集聚和企业培育</w:t>
      </w:r>
      <w:r w:rsidR="000E666E" w:rsidRPr="008E2873">
        <w:rPr>
          <w:rFonts w:hint="eastAsia"/>
          <w:sz w:val="24"/>
        </w:rPr>
        <w:t>。</w:t>
      </w:r>
    </w:p>
    <w:p w:rsidR="000E666E" w:rsidRPr="008E2873" w:rsidRDefault="00BF65A3" w:rsidP="00405BDA">
      <w:pPr>
        <w:spacing w:line="360" w:lineRule="auto"/>
        <w:rPr>
          <w:sz w:val="24"/>
        </w:rPr>
      </w:pPr>
      <w:r w:rsidRPr="008E2873">
        <w:rPr>
          <w:rFonts w:hint="eastAsia"/>
          <w:noProof/>
        </w:rPr>
        <w:drawing>
          <wp:inline distT="0" distB="0" distL="0" distR="0">
            <wp:extent cx="5274310" cy="3491386"/>
            <wp:effectExtent l="0" t="0" r="2540" b="0"/>
            <wp:docPr id="2" name="图片 2" descr="产业布局规划图-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产业布局规划图-x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491386"/>
                    </a:xfrm>
                    <a:prstGeom prst="rect">
                      <a:avLst/>
                    </a:prstGeom>
                    <a:noFill/>
                    <a:ln>
                      <a:noFill/>
                    </a:ln>
                  </pic:spPr>
                </pic:pic>
              </a:graphicData>
            </a:graphic>
          </wp:inline>
        </w:drawing>
      </w:r>
    </w:p>
    <w:p w:rsidR="00405BDA" w:rsidRPr="008E2873" w:rsidRDefault="00405BDA" w:rsidP="00405BDA">
      <w:pPr>
        <w:spacing w:line="360" w:lineRule="auto"/>
        <w:jc w:val="center"/>
        <w:rPr>
          <w:b/>
          <w:sz w:val="24"/>
        </w:rPr>
      </w:pPr>
      <w:r w:rsidRPr="008E2873">
        <w:rPr>
          <w:b/>
          <w:sz w:val="24"/>
        </w:rPr>
        <w:t>图</w:t>
      </w:r>
      <w:r w:rsidRPr="008E2873">
        <w:rPr>
          <w:rFonts w:hint="eastAsia"/>
          <w:b/>
          <w:sz w:val="24"/>
        </w:rPr>
        <w:t>1-</w:t>
      </w:r>
      <w:r w:rsidRPr="008E2873">
        <w:rPr>
          <w:b/>
          <w:sz w:val="24"/>
        </w:rPr>
        <w:t xml:space="preserve">1  </w:t>
      </w:r>
      <w:r w:rsidRPr="008E2873">
        <w:rPr>
          <w:b/>
          <w:sz w:val="24"/>
        </w:rPr>
        <w:t>产业布局规划图</w:t>
      </w:r>
    </w:p>
    <w:p w:rsidR="000E666E" w:rsidRPr="008E2873" w:rsidRDefault="00405BDA" w:rsidP="001E5649">
      <w:pPr>
        <w:pStyle w:val="1"/>
        <w:spacing w:before="120" w:after="120" w:line="360" w:lineRule="auto"/>
        <w:rPr>
          <w:sz w:val="28"/>
          <w:szCs w:val="28"/>
        </w:rPr>
      </w:pPr>
      <w:r w:rsidRPr="008E2873">
        <w:rPr>
          <w:rFonts w:hint="eastAsia"/>
          <w:sz w:val="28"/>
          <w:szCs w:val="28"/>
        </w:rPr>
        <w:t>三、区域开发现状</w:t>
      </w:r>
    </w:p>
    <w:p w:rsidR="00405BDA" w:rsidRPr="008E2873" w:rsidRDefault="006E00B7" w:rsidP="000E666E">
      <w:pPr>
        <w:spacing w:line="360" w:lineRule="auto"/>
        <w:ind w:firstLineChars="200" w:firstLine="482"/>
        <w:rPr>
          <w:b/>
          <w:sz w:val="24"/>
        </w:rPr>
      </w:pPr>
      <w:r w:rsidRPr="008E2873">
        <w:rPr>
          <w:rFonts w:hint="eastAsia"/>
          <w:b/>
          <w:sz w:val="24"/>
        </w:rPr>
        <w:t>1</w:t>
      </w:r>
      <w:r w:rsidRPr="008E2873">
        <w:rPr>
          <w:rFonts w:hint="eastAsia"/>
          <w:b/>
          <w:sz w:val="24"/>
        </w:rPr>
        <w:t>、</w:t>
      </w:r>
      <w:r w:rsidR="00405BDA" w:rsidRPr="008E2873">
        <w:rPr>
          <w:rFonts w:hint="eastAsia"/>
          <w:b/>
          <w:sz w:val="24"/>
        </w:rPr>
        <w:t>永久片区</w:t>
      </w:r>
    </w:p>
    <w:p w:rsidR="006E00B7" w:rsidRPr="008E2873" w:rsidRDefault="00405BDA" w:rsidP="006E00B7">
      <w:pPr>
        <w:spacing w:line="360" w:lineRule="auto"/>
        <w:ind w:firstLineChars="200" w:firstLine="480"/>
        <w:rPr>
          <w:sz w:val="24"/>
        </w:rPr>
      </w:pPr>
      <w:r w:rsidRPr="008E2873">
        <w:rPr>
          <w:sz w:val="24"/>
        </w:rPr>
        <w:t>现状主要为</w:t>
      </w:r>
      <w:r w:rsidR="00F92B52" w:rsidRPr="008E2873">
        <w:rPr>
          <w:sz w:val="24"/>
        </w:rPr>
        <w:t>农村环境</w:t>
      </w:r>
      <w:r w:rsidR="00F92B52" w:rsidRPr="008E2873">
        <w:rPr>
          <w:rFonts w:hint="eastAsia"/>
          <w:sz w:val="24"/>
        </w:rPr>
        <w:t>，</w:t>
      </w:r>
      <w:r w:rsidR="00F92B52" w:rsidRPr="008E2873">
        <w:rPr>
          <w:sz w:val="24"/>
        </w:rPr>
        <w:t>有少量已建企业以及车辆维修和废品回收站等个体作坊。现永久片区内已建企业主要有中国水电七局林芝金属结构制造厂，分布在永久片区西北部；永久片区南粤大道两侧开发强度较大，已建华能集团、三峡集团和其他商业酒店等建筑。规划区内现状散居农户生活污水大部分未经处理直接排放，区域内居民生活能源主要以薪柴、液化气、电为主。</w:t>
      </w:r>
    </w:p>
    <w:p w:rsidR="00F92B52" w:rsidRPr="008E2873" w:rsidRDefault="006E00B7" w:rsidP="006E00B7">
      <w:pPr>
        <w:spacing w:line="360" w:lineRule="auto"/>
        <w:ind w:firstLineChars="200" w:firstLine="482"/>
        <w:rPr>
          <w:b/>
          <w:sz w:val="24"/>
        </w:rPr>
      </w:pPr>
      <w:r w:rsidRPr="008E2873">
        <w:rPr>
          <w:rFonts w:hint="eastAsia"/>
          <w:b/>
          <w:sz w:val="24"/>
        </w:rPr>
        <w:t>2</w:t>
      </w:r>
      <w:r w:rsidRPr="008E2873">
        <w:rPr>
          <w:rFonts w:hint="eastAsia"/>
          <w:b/>
          <w:sz w:val="24"/>
        </w:rPr>
        <w:t>、</w:t>
      </w:r>
      <w:r w:rsidR="00F92B52" w:rsidRPr="008E2873">
        <w:rPr>
          <w:rFonts w:hint="eastAsia"/>
          <w:b/>
          <w:sz w:val="24"/>
        </w:rPr>
        <w:t>结麦片区</w:t>
      </w:r>
    </w:p>
    <w:p w:rsidR="00F92B52" w:rsidRPr="008E2873" w:rsidRDefault="00F92B52" w:rsidP="00F92B52">
      <w:pPr>
        <w:spacing w:line="360" w:lineRule="auto"/>
        <w:ind w:firstLineChars="200" w:firstLine="480"/>
        <w:rPr>
          <w:sz w:val="24"/>
        </w:rPr>
      </w:pPr>
      <w:r w:rsidRPr="008E2873">
        <w:rPr>
          <w:sz w:val="24"/>
        </w:rPr>
        <w:t>规划范围内没有进行大面积的开发，主要为待建荒地，区域现状企业为已建西藏林芝富民农副产品有限公司（屠宰场）和在建粤林产业园。规划的河西新区</w:t>
      </w:r>
      <w:r w:rsidRPr="008E2873">
        <w:rPr>
          <w:sz w:val="24"/>
        </w:rPr>
        <w:lastRenderedPageBreak/>
        <w:t>污水处理厂位于结麦片区东南角，目前正在施工，预计</w:t>
      </w:r>
      <w:r w:rsidRPr="008E2873">
        <w:rPr>
          <w:sz w:val="24"/>
        </w:rPr>
        <w:t>2019</w:t>
      </w:r>
      <w:r w:rsidRPr="008E2873">
        <w:rPr>
          <w:sz w:val="24"/>
        </w:rPr>
        <w:t>年底竣工。</w:t>
      </w:r>
    </w:p>
    <w:p w:rsidR="00F92B52" w:rsidRPr="008E2873" w:rsidRDefault="00F92B52" w:rsidP="001E5649">
      <w:pPr>
        <w:pStyle w:val="1"/>
        <w:spacing w:before="120" w:after="120" w:line="360" w:lineRule="auto"/>
        <w:rPr>
          <w:sz w:val="28"/>
          <w:szCs w:val="28"/>
        </w:rPr>
      </w:pPr>
      <w:r w:rsidRPr="008E2873">
        <w:rPr>
          <w:sz w:val="28"/>
          <w:szCs w:val="28"/>
        </w:rPr>
        <w:t>四</w:t>
      </w:r>
      <w:r w:rsidRPr="008E2873">
        <w:rPr>
          <w:rFonts w:hint="eastAsia"/>
          <w:sz w:val="28"/>
          <w:szCs w:val="28"/>
        </w:rPr>
        <w:t>、</w:t>
      </w:r>
      <w:r w:rsidRPr="008E2873">
        <w:rPr>
          <w:sz w:val="28"/>
          <w:szCs w:val="28"/>
        </w:rPr>
        <w:t>区域环境质量现状及变化趋势</w:t>
      </w:r>
    </w:p>
    <w:p w:rsidR="000D4382" w:rsidRPr="008E2873" w:rsidRDefault="000D4382" w:rsidP="000D4382">
      <w:pPr>
        <w:spacing w:line="360" w:lineRule="auto"/>
        <w:ind w:firstLineChars="200" w:firstLine="480"/>
        <w:rPr>
          <w:sz w:val="24"/>
        </w:rPr>
      </w:pPr>
      <w:r w:rsidRPr="008E2873">
        <w:rPr>
          <w:sz w:val="24"/>
        </w:rPr>
        <w:t>1</w:t>
      </w:r>
      <w:r w:rsidRPr="008E2873">
        <w:rPr>
          <w:sz w:val="24"/>
        </w:rPr>
        <w:t>、地表水环境质量现状</w:t>
      </w:r>
    </w:p>
    <w:p w:rsidR="000D4382" w:rsidRPr="008E2873" w:rsidRDefault="000D4382" w:rsidP="000D4382">
      <w:pPr>
        <w:spacing w:line="360" w:lineRule="auto"/>
        <w:ind w:firstLineChars="200" w:firstLine="480"/>
        <w:rPr>
          <w:sz w:val="24"/>
        </w:rPr>
      </w:pPr>
      <w:r w:rsidRPr="008E2873">
        <w:rPr>
          <w:sz w:val="24"/>
        </w:rPr>
        <w:t>监测期间，尼洋河</w:t>
      </w:r>
      <w:r w:rsidRPr="008E2873">
        <w:rPr>
          <w:sz w:val="24"/>
        </w:rPr>
        <w:t>1~6</w:t>
      </w:r>
      <w:r w:rsidRPr="008E2873">
        <w:rPr>
          <w:sz w:val="24"/>
        </w:rPr>
        <w:t>号断面</w:t>
      </w:r>
      <w:r w:rsidRPr="008E2873">
        <w:rPr>
          <w:rFonts w:hint="eastAsia"/>
          <w:sz w:val="24"/>
        </w:rPr>
        <w:t>、永清河和银久弄巴河的监测断面均</w:t>
      </w:r>
      <w:r w:rsidRPr="008E2873">
        <w:rPr>
          <w:sz w:val="24"/>
        </w:rPr>
        <w:t>满足《地表水环境质量标准》（</w:t>
      </w:r>
      <w:r w:rsidRPr="008E2873">
        <w:rPr>
          <w:sz w:val="24"/>
        </w:rPr>
        <w:t>GB3838-2002</w:t>
      </w:r>
      <w:r w:rsidRPr="008E2873">
        <w:rPr>
          <w:sz w:val="24"/>
        </w:rPr>
        <w:t>）</w:t>
      </w:r>
      <w:r w:rsidRPr="008E2873">
        <w:rPr>
          <w:rFonts w:hint="eastAsia"/>
          <w:sz w:val="24"/>
        </w:rPr>
        <w:t>Ⅲ</w:t>
      </w:r>
      <w:r w:rsidRPr="008E2873">
        <w:rPr>
          <w:sz w:val="24"/>
        </w:rPr>
        <w:t>类水域标准值，</w:t>
      </w:r>
      <w:r w:rsidRPr="008E2873">
        <w:rPr>
          <w:rFonts w:hint="eastAsia"/>
          <w:sz w:val="24"/>
        </w:rPr>
        <w:t>规划</w:t>
      </w:r>
      <w:r w:rsidRPr="008E2873">
        <w:rPr>
          <w:sz w:val="24"/>
        </w:rPr>
        <w:t>区所处流域地表水质量较好。</w:t>
      </w:r>
    </w:p>
    <w:p w:rsidR="000D4382" w:rsidRPr="008E2873" w:rsidRDefault="000D4382" w:rsidP="000D4382">
      <w:pPr>
        <w:spacing w:line="360" w:lineRule="auto"/>
        <w:ind w:firstLineChars="200" w:firstLine="480"/>
        <w:rPr>
          <w:sz w:val="24"/>
        </w:rPr>
      </w:pPr>
      <w:r w:rsidRPr="008E2873">
        <w:rPr>
          <w:sz w:val="24"/>
        </w:rPr>
        <w:t>近</w:t>
      </w:r>
      <w:r w:rsidRPr="008E2873">
        <w:rPr>
          <w:rFonts w:hint="eastAsia"/>
          <w:sz w:val="24"/>
        </w:rPr>
        <w:t>6</w:t>
      </w:r>
      <w:r w:rsidRPr="008E2873">
        <w:rPr>
          <w:sz w:val="24"/>
        </w:rPr>
        <w:t>年尼洋河监测断面例行监测数据能够满足《地表水环境质量标准》（</w:t>
      </w:r>
      <w:r w:rsidRPr="008E2873">
        <w:rPr>
          <w:sz w:val="24"/>
        </w:rPr>
        <w:t>GB3838-2002</w:t>
      </w:r>
      <w:r w:rsidRPr="008E2873">
        <w:rPr>
          <w:sz w:val="24"/>
        </w:rPr>
        <w:t>）</w:t>
      </w:r>
      <w:r w:rsidRPr="008E2873">
        <w:rPr>
          <w:rFonts w:hint="eastAsia"/>
          <w:sz w:val="24"/>
        </w:rPr>
        <w:t>Ⅱ</w:t>
      </w:r>
      <w:r w:rsidRPr="008E2873">
        <w:rPr>
          <w:sz w:val="24"/>
        </w:rPr>
        <w:t>和</w:t>
      </w:r>
      <w:r w:rsidRPr="008E2873">
        <w:rPr>
          <w:rFonts w:hint="eastAsia"/>
          <w:sz w:val="24"/>
        </w:rPr>
        <w:t>Ⅲ</w:t>
      </w:r>
      <w:r w:rsidRPr="008E2873">
        <w:rPr>
          <w:sz w:val="24"/>
        </w:rPr>
        <w:t>类水质标准要求（喇嘛岭</w:t>
      </w:r>
      <w:r w:rsidRPr="008E2873">
        <w:rPr>
          <w:rFonts w:hint="eastAsia"/>
          <w:sz w:val="24"/>
        </w:rPr>
        <w:t>和</w:t>
      </w:r>
      <w:r w:rsidRPr="008E2873">
        <w:rPr>
          <w:sz w:val="24"/>
        </w:rPr>
        <w:t>林芝市尼洋河下游</w:t>
      </w:r>
      <w:r w:rsidRPr="008E2873">
        <w:rPr>
          <w:sz w:val="24"/>
        </w:rPr>
        <w:t>1km</w:t>
      </w:r>
      <w:r w:rsidRPr="008E2873">
        <w:rPr>
          <w:sz w:val="24"/>
        </w:rPr>
        <w:t>断面</w:t>
      </w:r>
      <w:r w:rsidRPr="008E2873">
        <w:rPr>
          <w:rFonts w:hint="eastAsia"/>
          <w:sz w:val="24"/>
        </w:rPr>
        <w:t>（</w:t>
      </w:r>
      <w:r w:rsidRPr="008E2873">
        <w:rPr>
          <w:rFonts w:hint="eastAsia"/>
          <w:sz w:val="24"/>
        </w:rPr>
        <w:t>17~19</w:t>
      </w:r>
      <w:r w:rsidRPr="008E2873">
        <w:rPr>
          <w:rFonts w:hint="eastAsia"/>
          <w:sz w:val="24"/>
        </w:rPr>
        <w:t>年）</w:t>
      </w:r>
      <w:r w:rsidRPr="008E2873">
        <w:rPr>
          <w:sz w:val="24"/>
        </w:rPr>
        <w:t>执行</w:t>
      </w:r>
      <w:r w:rsidRPr="008E2873">
        <w:rPr>
          <w:rFonts w:hint="eastAsia"/>
          <w:sz w:val="24"/>
        </w:rPr>
        <w:t>Ⅱ</w:t>
      </w:r>
      <w:r w:rsidRPr="008E2873">
        <w:rPr>
          <w:sz w:val="24"/>
        </w:rPr>
        <w:t>级标准，林芝市尼洋河下游</w:t>
      </w:r>
      <w:r w:rsidRPr="008E2873">
        <w:rPr>
          <w:sz w:val="24"/>
        </w:rPr>
        <w:t>1km</w:t>
      </w:r>
      <w:r w:rsidRPr="008E2873">
        <w:rPr>
          <w:sz w:val="24"/>
        </w:rPr>
        <w:t>断面</w:t>
      </w:r>
      <w:r w:rsidRPr="008E2873">
        <w:rPr>
          <w:rFonts w:hint="eastAsia"/>
          <w:sz w:val="24"/>
        </w:rPr>
        <w:t>（</w:t>
      </w:r>
      <w:r w:rsidRPr="008E2873">
        <w:rPr>
          <w:rFonts w:hint="eastAsia"/>
          <w:sz w:val="24"/>
        </w:rPr>
        <w:t>16</w:t>
      </w:r>
      <w:r w:rsidRPr="008E2873">
        <w:rPr>
          <w:rFonts w:hint="eastAsia"/>
          <w:sz w:val="24"/>
        </w:rPr>
        <w:t>年）</w:t>
      </w:r>
      <w:r w:rsidRPr="008E2873">
        <w:rPr>
          <w:sz w:val="24"/>
        </w:rPr>
        <w:t>执行</w:t>
      </w:r>
      <w:r w:rsidRPr="008E2873">
        <w:rPr>
          <w:rFonts w:hint="eastAsia"/>
          <w:sz w:val="24"/>
        </w:rPr>
        <w:t>Ⅲ</w:t>
      </w:r>
      <w:r w:rsidRPr="008E2873">
        <w:rPr>
          <w:sz w:val="24"/>
        </w:rPr>
        <w:t>级标准），地表水环境质量较好。</w:t>
      </w:r>
    </w:p>
    <w:p w:rsidR="000D4382" w:rsidRPr="008E2873" w:rsidRDefault="000D4382" w:rsidP="000D4382">
      <w:pPr>
        <w:spacing w:line="360" w:lineRule="auto"/>
        <w:ind w:firstLineChars="200" w:firstLine="480"/>
        <w:rPr>
          <w:sz w:val="24"/>
        </w:rPr>
      </w:pPr>
      <w:r w:rsidRPr="008E2873">
        <w:rPr>
          <w:sz w:val="24"/>
        </w:rPr>
        <w:t>2</w:t>
      </w:r>
      <w:r w:rsidRPr="008E2873">
        <w:rPr>
          <w:sz w:val="24"/>
        </w:rPr>
        <w:t>、地下水环境质量现状</w:t>
      </w:r>
    </w:p>
    <w:p w:rsidR="000D4382" w:rsidRPr="008E2873" w:rsidRDefault="000D4382" w:rsidP="000D4382">
      <w:pPr>
        <w:spacing w:line="360" w:lineRule="auto"/>
        <w:ind w:firstLineChars="200" w:firstLine="480"/>
        <w:rPr>
          <w:sz w:val="24"/>
        </w:rPr>
      </w:pPr>
      <w:r w:rsidRPr="008E2873">
        <w:rPr>
          <w:sz w:val="24"/>
        </w:rPr>
        <w:t>评价范围内地下水各监测指标均能达到《地下水质量标准》（</w:t>
      </w:r>
      <w:r w:rsidRPr="008E2873">
        <w:rPr>
          <w:sz w:val="24"/>
        </w:rPr>
        <w:t>GB/T 14848-2017</w:t>
      </w:r>
      <w:r w:rsidRPr="008E2873">
        <w:rPr>
          <w:sz w:val="24"/>
        </w:rPr>
        <w:t>）中</w:t>
      </w:r>
      <w:r w:rsidRPr="008E2873">
        <w:rPr>
          <w:rFonts w:hint="eastAsia"/>
          <w:sz w:val="24"/>
        </w:rPr>
        <w:t>Ⅲ</w:t>
      </w:r>
      <w:r w:rsidRPr="008E2873">
        <w:rPr>
          <w:sz w:val="24"/>
        </w:rPr>
        <w:t>类标准要求，区域地下水水质情况良好。</w:t>
      </w:r>
    </w:p>
    <w:p w:rsidR="000D4382" w:rsidRPr="008E2873" w:rsidRDefault="000D4382" w:rsidP="000D4382">
      <w:pPr>
        <w:spacing w:line="360" w:lineRule="auto"/>
        <w:ind w:firstLineChars="200" w:firstLine="480"/>
        <w:rPr>
          <w:sz w:val="24"/>
        </w:rPr>
      </w:pPr>
      <w:r w:rsidRPr="008E2873">
        <w:rPr>
          <w:sz w:val="24"/>
        </w:rPr>
        <w:t>3</w:t>
      </w:r>
      <w:r w:rsidRPr="008E2873">
        <w:rPr>
          <w:sz w:val="24"/>
        </w:rPr>
        <w:t>、环境空气质量现状</w:t>
      </w:r>
    </w:p>
    <w:p w:rsidR="000D4382" w:rsidRPr="008E2873" w:rsidRDefault="000D4382" w:rsidP="000D4382">
      <w:pPr>
        <w:spacing w:line="360" w:lineRule="auto"/>
        <w:ind w:firstLineChars="200" w:firstLine="480"/>
        <w:rPr>
          <w:sz w:val="24"/>
        </w:rPr>
      </w:pPr>
      <w:r w:rsidRPr="008E2873">
        <w:rPr>
          <w:sz w:val="24"/>
        </w:rPr>
        <w:t>从评价结果可知，</w:t>
      </w:r>
      <w:r w:rsidRPr="008E2873">
        <w:rPr>
          <w:rFonts w:hint="eastAsia"/>
          <w:sz w:val="24"/>
        </w:rPr>
        <w:t>规划</w:t>
      </w:r>
      <w:r w:rsidRPr="008E2873">
        <w:rPr>
          <w:sz w:val="24"/>
        </w:rPr>
        <w:t>区域各监测因子均能满足《环境空气质量标准》（</w:t>
      </w:r>
      <w:r w:rsidRPr="008E2873">
        <w:rPr>
          <w:sz w:val="24"/>
        </w:rPr>
        <w:t>GB3095-2012</w:t>
      </w:r>
      <w:r w:rsidRPr="008E2873">
        <w:rPr>
          <w:sz w:val="24"/>
        </w:rPr>
        <w:t>）二级标准要求，</w:t>
      </w:r>
      <w:r w:rsidRPr="008E2873">
        <w:rPr>
          <w:rFonts w:hint="eastAsia"/>
          <w:sz w:val="24"/>
        </w:rPr>
        <w:t>比日神山国家森林公园与工布自然保护监测点各监测因子</w:t>
      </w:r>
      <w:r w:rsidRPr="008E2873">
        <w:rPr>
          <w:sz w:val="24"/>
        </w:rPr>
        <w:t>均能满足《环境空气质量标准》（</w:t>
      </w:r>
      <w:r w:rsidRPr="008E2873">
        <w:rPr>
          <w:sz w:val="24"/>
        </w:rPr>
        <w:t>GB3095-2012</w:t>
      </w:r>
      <w:r w:rsidRPr="008E2873">
        <w:rPr>
          <w:sz w:val="24"/>
        </w:rPr>
        <w:t>）</w:t>
      </w:r>
      <w:r w:rsidRPr="008E2873">
        <w:rPr>
          <w:rFonts w:hint="eastAsia"/>
          <w:sz w:val="24"/>
        </w:rPr>
        <w:t>一</w:t>
      </w:r>
      <w:r w:rsidRPr="008E2873">
        <w:rPr>
          <w:sz w:val="24"/>
        </w:rPr>
        <w:t>级标准要求，区域环境质量较好。近八年林芝市各项指标均能满足《环境空气质量标准》（</w:t>
      </w:r>
      <w:r w:rsidRPr="008E2873">
        <w:rPr>
          <w:sz w:val="24"/>
        </w:rPr>
        <w:t>GB3095-2012</w:t>
      </w:r>
      <w:r w:rsidRPr="008E2873">
        <w:rPr>
          <w:sz w:val="24"/>
        </w:rPr>
        <w:t>）二级标准，空气质量良好。</w:t>
      </w:r>
    </w:p>
    <w:p w:rsidR="000D4382" w:rsidRPr="008E2873" w:rsidRDefault="000D4382" w:rsidP="000D4382">
      <w:pPr>
        <w:spacing w:line="360" w:lineRule="auto"/>
        <w:ind w:firstLineChars="200" w:firstLine="480"/>
        <w:rPr>
          <w:sz w:val="24"/>
        </w:rPr>
      </w:pPr>
      <w:r w:rsidRPr="008E2873">
        <w:rPr>
          <w:sz w:val="24"/>
        </w:rPr>
        <w:t>4</w:t>
      </w:r>
      <w:r w:rsidRPr="008E2873">
        <w:rPr>
          <w:sz w:val="24"/>
        </w:rPr>
        <w:t>、声环境质量现状</w:t>
      </w:r>
    </w:p>
    <w:p w:rsidR="000D4382" w:rsidRPr="008E2873" w:rsidRDefault="000D4382" w:rsidP="000D4382">
      <w:pPr>
        <w:spacing w:line="360" w:lineRule="auto"/>
        <w:ind w:firstLineChars="200" w:firstLine="480"/>
        <w:rPr>
          <w:sz w:val="24"/>
        </w:rPr>
      </w:pPr>
      <w:r w:rsidRPr="008E2873">
        <w:rPr>
          <w:sz w:val="24"/>
        </w:rPr>
        <w:t>监测期间，各监测点噪声值昼间、夜间均可达到《声环境质量标准》（</w:t>
      </w:r>
      <w:r w:rsidRPr="008E2873">
        <w:rPr>
          <w:sz w:val="24"/>
        </w:rPr>
        <w:t>GB3096-2008</w:t>
      </w:r>
      <w:r w:rsidRPr="008E2873">
        <w:rPr>
          <w:sz w:val="24"/>
        </w:rPr>
        <w:t>）中相应类别标准的要求，区域声学环境质量较好。</w:t>
      </w:r>
    </w:p>
    <w:p w:rsidR="000D4382" w:rsidRPr="008E2873" w:rsidRDefault="000D4382" w:rsidP="000D4382">
      <w:pPr>
        <w:spacing w:line="360" w:lineRule="auto"/>
        <w:ind w:firstLineChars="200" w:firstLine="480"/>
        <w:rPr>
          <w:sz w:val="24"/>
        </w:rPr>
      </w:pPr>
      <w:r w:rsidRPr="008E2873">
        <w:rPr>
          <w:sz w:val="24"/>
        </w:rPr>
        <w:t>5</w:t>
      </w:r>
      <w:r w:rsidRPr="008E2873">
        <w:rPr>
          <w:sz w:val="24"/>
        </w:rPr>
        <w:t>、土壤环境质量现状</w:t>
      </w:r>
    </w:p>
    <w:p w:rsidR="000D4382" w:rsidRPr="008E2873" w:rsidRDefault="000D4382" w:rsidP="000D4382">
      <w:pPr>
        <w:spacing w:line="360" w:lineRule="auto"/>
        <w:ind w:firstLineChars="200" w:firstLine="480"/>
        <w:rPr>
          <w:sz w:val="24"/>
        </w:rPr>
      </w:pPr>
      <w:r w:rsidRPr="008E2873">
        <w:rPr>
          <w:sz w:val="24"/>
        </w:rPr>
        <w:t>所有监测点的污染物指标现状监测值均符合所执行的《土壤环境质量</w:t>
      </w:r>
      <w:r w:rsidRPr="008E2873">
        <w:rPr>
          <w:sz w:val="24"/>
        </w:rPr>
        <w:t xml:space="preserve">  </w:t>
      </w:r>
      <w:r w:rsidRPr="008E2873">
        <w:rPr>
          <w:sz w:val="24"/>
        </w:rPr>
        <w:t>建设用地土壤污染环境风险管控标准（试行）》（</w:t>
      </w:r>
      <w:r w:rsidRPr="008E2873">
        <w:rPr>
          <w:sz w:val="24"/>
        </w:rPr>
        <w:t>GB36600-2018</w:t>
      </w:r>
      <w:r w:rsidRPr="008E2873">
        <w:rPr>
          <w:sz w:val="24"/>
        </w:rPr>
        <w:t>）筛选值标准，项目所在区域内土壤环境质量状况较好。</w:t>
      </w:r>
    </w:p>
    <w:p w:rsidR="00F92B52" w:rsidRPr="008E2873" w:rsidRDefault="00F92B52" w:rsidP="001E5649">
      <w:pPr>
        <w:pStyle w:val="1"/>
        <w:spacing w:before="120" w:after="120" w:line="360" w:lineRule="auto"/>
        <w:rPr>
          <w:sz w:val="28"/>
          <w:szCs w:val="28"/>
        </w:rPr>
      </w:pPr>
      <w:r w:rsidRPr="008E2873">
        <w:rPr>
          <w:sz w:val="28"/>
          <w:szCs w:val="28"/>
        </w:rPr>
        <w:t>五</w:t>
      </w:r>
      <w:r w:rsidRPr="008E2873">
        <w:rPr>
          <w:rFonts w:hint="eastAsia"/>
          <w:sz w:val="28"/>
          <w:szCs w:val="28"/>
        </w:rPr>
        <w:t>、</w:t>
      </w:r>
      <w:r w:rsidRPr="008E2873">
        <w:rPr>
          <w:sz w:val="28"/>
          <w:szCs w:val="28"/>
        </w:rPr>
        <w:t>规划方案的主要环境制约因素</w:t>
      </w:r>
      <w:r w:rsidRPr="008E2873">
        <w:rPr>
          <w:rFonts w:hint="eastAsia"/>
          <w:sz w:val="28"/>
          <w:szCs w:val="28"/>
        </w:rPr>
        <w:t>、</w:t>
      </w:r>
      <w:r w:rsidRPr="008E2873">
        <w:rPr>
          <w:sz w:val="28"/>
          <w:szCs w:val="28"/>
        </w:rPr>
        <w:t>对策措施</w:t>
      </w:r>
    </w:p>
    <w:p w:rsidR="00FB66EE" w:rsidRPr="008E2873" w:rsidRDefault="00FB66EE" w:rsidP="00FB66EE">
      <w:pPr>
        <w:spacing w:line="360" w:lineRule="auto"/>
        <w:ind w:firstLineChars="200" w:firstLine="480"/>
        <w:rPr>
          <w:sz w:val="24"/>
        </w:rPr>
      </w:pPr>
      <w:r w:rsidRPr="008E2873">
        <w:rPr>
          <w:sz w:val="24"/>
        </w:rPr>
        <w:t>1</w:t>
      </w:r>
      <w:r w:rsidRPr="008E2873">
        <w:rPr>
          <w:sz w:val="24"/>
        </w:rPr>
        <w:t>、规划区</w:t>
      </w:r>
      <w:r w:rsidRPr="008E2873">
        <w:rPr>
          <w:rFonts w:hint="eastAsia"/>
          <w:sz w:val="24"/>
        </w:rPr>
        <w:t>距离</w:t>
      </w:r>
      <w:r w:rsidRPr="008E2873">
        <w:rPr>
          <w:sz w:val="24"/>
        </w:rPr>
        <w:t>比日神山国家森林公园</w:t>
      </w:r>
      <w:r w:rsidRPr="008E2873">
        <w:rPr>
          <w:rFonts w:hint="eastAsia"/>
          <w:sz w:val="24"/>
        </w:rPr>
        <w:t>较近</w:t>
      </w:r>
    </w:p>
    <w:p w:rsidR="00FB66EE" w:rsidRPr="008E2873" w:rsidRDefault="00FB66EE" w:rsidP="00FB66EE">
      <w:pPr>
        <w:spacing w:line="360" w:lineRule="auto"/>
        <w:ind w:firstLineChars="200" w:firstLine="480"/>
        <w:rPr>
          <w:sz w:val="24"/>
        </w:rPr>
      </w:pPr>
      <w:r w:rsidRPr="008E2873">
        <w:rPr>
          <w:rFonts w:hint="eastAsia"/>
          <w:sz w:val="24"/>
        </w:rPr>
        <w:lastRenderedPageBreak/>
        <w:t>规划区不涉及</w:t>
      </w:r>
      <w:r w:rsidRPr="008E2873">
        <w:rPr>
          <w:sz w:val="24"/>
        </w:rPr>
        <w:t>比日神山国家森林公园用地</w:t>
      </w:r>
      <w:r w:rsidRPr="008E2873">
        <w:rPr>
          <w:rFonts w:hint="eastAsia"/>
          <w:sz w:val="24"/>
        </w:rPr>
        <w:t>，距离比日神山国家森林公园</w:t>
      </w:r>
      <w:r w:rsidRPr="008E2873">
        <w:rPr>
          <w:rFonts w:hint="eastAsia"/>
          <w:sz w:val="24"/>
        </w:rPr>
        <w:t>5m</w:t>
      </w:r>
      <w:r w:rsidRPr="008E2873">
        <w:rPr>
          <w:sz w:val="24"/>
        </w:rPr>
        <w:t>。</w:t>
      </w:r>
    </w:p>
    <w:p w:rsidR="00FB66EE" w:rsidRPr="008E2873" w:rsidRDefault="00FB66EE" w:rsidP="00FB66EE">
      <w:pPr>
        <w:snapToGrid w:val="0"/>
        <w:spacing w:line="360" w:lineRule="auto"/>
        <w:ind w:firstLineChars="200" w:firstLine="480"/>
        <w:rPr>
          <w:sz w:val="24"/>
        </w:rPr>
      </w:pPr>
      <w:r w:rsidRPr="008E2873">
        <w:rPr>
          <w:sz w:val="24"/>
        </w:rPr>
        <w:t>规划环评提出的调整建议：</w:t>
      </w:r>
    </w:p>
    <w:p w:rsidR="00FB66EE" w:rsidRPr="008E2873" w:rsidRDefault="00FB66EE" w:rsidP="00FB66EE">
      <w:pPr>
        <w:spacing w:line="360" w:lineRule="auto"/>
        <w:ind w:firstLine="480"/>
        <w:rPr>
          <w:sz w:val="24"/>
        </w:rPr>
      </w:pPr>
      <w:r w:rsidRPr="008E2873">
        <w:rPr>
          <w:sz w:val="24"/>
        </w:rPr>
        <w:fldChar w:fldCharType="begin"/>
      </w:r>
      <w:r w:rsidRPr="008E2873">
        <w:rPr>
          <w:sz w:val="24"/>
        </w:rPr>
        <w:instrText xml:space="preserve"> = 1 \* GB3 </w:instrText>
      </w:r>
      <w:r w:rsidRPr="008E2873">
        <w:rPr>
          <w:sz w:val="24"/>
        </w:rPr>
        <w:fldChar w:fldCharType="separate"/>
      </w:r>
      <w:r w:rsidRPr="008E2873">
        <w:rPr>
          <w:rFonts w:ascii="宋体" w:hAnsi="宋体" w:cs="宋体" w:hint="eastAsia"/>
          <w:sz w:val="24"/>
        </w:rPr>
        <w:t>①</w:t>
      </w:r>
      <w:r w:rsidRPr="008E2873">
        <w:rPr>
          <w:sz w:val="24"/>
        </w:rPr>
        <w:fldChar w:fldCharType="end"/>
      </w:r>
      <w:r w:rsidRPr="008E2873">
        <w:rPr>
          <w:sz w:val="24"/>
        </w:rPr>
        <w:t>本次规划环评要求尼洋河滨河景观绿化带，种植与比日神山国家森林公园景色相协调的植物，特别是较为高大的植物，可以不影响人们欣赏景观的视觉，也不影响景观周边环境，即不影响城市的景观视廊。通过生态恢复，营造一个自然生态景观地带，对保护视觉景观十分重要。</w:t>
      </w:r>
    </w:p>
    <w:p w:rsidR="00FB66EE" w:rsidRPr="008E2873" w:rsidRDefault="00FB66EE" w:rsidP="00FB66EE">
      <w:pPr>
        <w:spacing w:line="360" w:lineRule="auto"/>
        <w:ind w:firstLine="480"/>
        <w:rPr>
          <w:sz w:val="24"/>
        </w:rPr>
      </w:pPr>
      <w:r w:rsidRPr="008E2873">
        <w:rPr>
          <w:sz w:val="24"/>
        </w:rPr>
        <w:fldChar w:fldCharType="begin"/>
      </w:r>
      <w:r w:rsidRPr="008E2873">
        <w:rPr>
          <w:sz w:val="24"/>
        </w:rPr>
        <w:instrText xml:space="preserve"> </w:instrText>
      </w:r>
      <w:r w:rsidRPr="008E2873">
        <w:rPr>
          <w:rFonts w:hint="eastAsia"/>
          <w:sz w:val="24"/>
        </w:rPr>
        <w:instrText>= 2 \* GB3</w:instrText>
      </w:r>
      <w:r w:rsidRPr="008E2873">
        <w:rPr>
          <w:sz w:val="24"/>
        </w:rPr>
        <w:instrText xml:space="preserve"> </w:instrText>
      </w:r>
      <w:r w:rsidRPr="008E2873">
        <w:rPr>
          <w:sz w:val="24"/>
        </w:rPr>
        <w:fldChar w:fldCharType="separate"/>
      </w:r>
      <w:r w:rsidRPr="008E2873">
        <w:rPr>
          <w:rFonts w:hint="eastAsia"/>
          <w:noProof/>
          <w:sz w:val="24"/>
        </w:rPr>
        <w:t>②</w:t>
      </w:r>
      <w:r w:rsidRPr="008E2873">
        <w:rPr>
          <w:sz w:val="24"/>
        </w:rPr>
        <w:fldChar w:fldCharType="end"/>
      </w:r>
      <w:r w:rsidRPr="008E2873">
        <w:rPr>
          <w:sz w:val="24"/>
        </w:rPr>
        <w:t>环评要求待河西新区污水处理厂建成后，永久片区所有企事业单位以及住户的废水需自行处理达到污水处理厂纳管标准后，进入河西新区污水处理厂处理达标后排入尼洋河，该段尼洋河为比日神山国家森林公园的一般游憩区尼洋河的下游河段，比日神山国家森林公园的一般游憩区的尼洋河段位于河西新区污水处理厂排口河段上游约</w:t>
      </w:r>
      <w:r w:rsidRPr="008E2873">
        <w:rPr>
          <w:sz w:val="24"/>
        </w:rPr>
        <w:t>2.0km</w:t>
      </w:r>
      <w:r w:rsidRPr="008E2873">
        <w:rPr>
          <w:sz w:val="24"/>
        </w:rPr>
        <w:t>，为污水处理厂排口对照断面以上，因此，采用这种排水方式后比日神山国家森林公园的一般游憩区的</w:t>
      </w:r>
      <w:r w:rsidRPr="008E2873">
        <w:rPr>
          <w:kern w:val="0"/>
          <w:sz w:val="24"/>
        </w:rPr>
        <w:t>尼洋河水质不受河西新区污水处理厂排放影响。</w:t>
      </w:r>
    </w:p>
    <w:p w:rsidR="00FB66EE" w:rsidRPr="008E2873" w:rsidRDefault="00FB66EE" w:rsidP="00FB66EE">
      <w:pPr>
        <w:spacing w:line="360" w:lineRule="auto"/>
        <w:ind w:firstLine="480"/>
        <w:rPr>
          <w:kern w:val="0"/>
          <w:sz w:val="24"/>
        </w:rPr>
      </w:pPr>
      <w:r w:rsidRPr="008E2873">
        <w:rPr>
          <w:sz w:val="24"/>
        </w:rPr>
        <w:fldChar w:fldCharType="begin"/>
      </w:r>
      <w:r w:rsidRPr="008E2873">
        <w:rPr>
          <w:sz w:val="24"/>
        </w:rPr>
        <w:instrText xml:space="preserve"> </w:instrText>
      </w:r>
      <w:r w:rsidRPr="008E2873">
        <w:rPr>
          <w:rFonts w:hint="eastAsia"/>
          <w:sz w:val="24"/>
        </w:rPr>
        <w:instrText>= 3 \* GB3</w:instrText>
      </w:r>
      <w:r w:rsidRPr="008E2873">
        <w:rPr>
          <w:sz w:val="24"/>
        </w:rPr>
        <w:instrText xml:space="preserve"> </w:instrText>
      </w:r>
      <w:r w:rsidRPr="008E2873">
        <w:rPr>
          <w:sz w:val="24"/>
        </w:rPr>
        <w:fldChar w:fldCharType="separate"/>
      </w:r>
      <w:r w:rsidRPr="008E2873">
        <w:rPr>
          <w:rFonts w:hint="eastAsia"/>
          <w:noProof/>
          <w:sz w:val="24"/>
        </w:rPr>
        <w:t>③</w:t>
      </w:r>
      <w:r w:rsidRPr="008E2873">
        <w:rPr>
          <w:sz w:val="24"/>
        </w:rPr>
        <w:fldChar w:fldCharType="end"/>
      </w:r>
      <w:r w:rsidRPr="008E2873">
        <w:rPr>
          <w:sz w:val="24"/>
        </w:rPr>
        <w:t>考虑到规划区距离比日神山国家森林公园较近，为了保护森林公园的植物，规划区禁止引入产生含氟废气的企业。</w:t>
      </w:r>
    </w:p>
    <w:p w:rsidR="00FB66EE" w:rsidRPr="008E2873" w:rsidRDefault="00FB66EE" w:rsidP="00FB66EE">
      <w:pPr>
        <w:spacing w:line="360" w:lineRule="auto"/>
        <w:ind w:firstLineChars="200" w:firstLine="480"/>
        <w:rPr>
          <w:sz w:val="24"/>
        </w:rPr>
      </w:pPr>
      <w:r w:rsidRPr="008E2873">
        <w:rPr>
          <w:sz w:val="24"/>
        </w:rPr>
        <w:t>2</w:t>
      </w:r>
      <w:r w:rsidRPr="008E2873">
        <w:rPr>
          <w:sz w:val="24"/>
        </w:rPr>
        <w:t>、规划区外环境较为敏感</w:t>
      </w:r>
    </w:p>
    <w:p w:rsidR="00FB66EE" w:rsidRPr="008E2873" w:rsidRDefault="00FB66EE" w:rsidP="00FB66EE">
      <w:pPr>
        <w:pStyle w:val="-2"/>
        <w:adjustRightInd w:val="0"/>
        <w:spacing w:afterLines="0" w:after="0" w:line="360" w:lineRule="auto"/>
        <w:jc w:val="both"/>
        <w:rPr>
          <w:rFonts w:ascii="Times New Roman" w:hAnsi="Times New Roman"/>
          <w:color w:val="auto"/>
        </w:rPr>
      </w:pPr>
      <w:r w:rsidRPr="008E2873">
        <w:rPr>
          <w:rFonts w:ascii="Times New Roman" w:hAnsi="Times New Roman"/>
          <w:color w:val="auto"/>
        </w:rPr>
        <w:t>整个规划区位于林芝市中心城区的上风向，规划区西侧紧邻巴宜区东如片区。规划区永久片区规划的三块一类工业用地距离东如片区规划居住用地较近，在东如片区规划中考虑了工业与居住隔离带的问题，工业用地没有紧邻居住用地，二者之间相隔了旅馆用地、永清河以及河道两侧防护绿化带。整个规划区位于林芝市中心城区的上风向，其中离林芝市中心城区较近的永久片区规划工业用地较少，以商业、办公等为主；以规划工业用地为主的结麦片区与林芝市中心城区之间相隔永久片区。</w:t>
      </w:r>
    </w:p>
    <w:p w:rsidR="00FB66EE" w:rsidRPr="008E2873" w:rsidRDefault="00FB66EE" w:rsidP="00FB66EE">
      <w:pPr>
        <w:pStyle w:val="-"/>
        <w:rPr>
          <w:rFonts w:cs="Times New Roman"/>
          <w:color w:val="auto"/>
          <w:szCs w:val="24"/>
        </w:rPr>
      </w:pPr>
      <w:r w:rsidRPr="008E2873">
        <w:rPr>
          <w:rFonts w:cs="Times New Roman"/>
          <w:color w:val="auto"/>
          <w:szCs w:val="24"/>
        </w:rPr>
        <w:t>考虑到永久片区除现有的金属结构厂外，还规划了一类工业用地，规划环评针对永久片区规划的一类工业用地提出调整建议：将产业布局规划进行调整，永久片区规划的生物科技产业园调整为现代服务产业园（见附图</w:t>
      </w:r>
      <w:r w:rsidRPr="008E2873">
        <w:rPr>
          <w:rFonts w:cs="Times New Roman"/>
          <w:color w:val="auto"/>
          <w:szCs w:val="24"/>
        </w:rPr>
        <w:t>8</w:t>
      </w:r>
      <w:r w:rsidRPr="008E2873">
        <w:rPr>
          <w:rFonts w:cs="Times New Roman"/>
          <w:color w:val="auto"/>
          <w:szCs w:val="24"/>
        </w:rPr>
        <w:t>），未来引入与生态旅游配套的民族手工业（即根据《城市用地分类与规划建设用地标准》</w:t>
      </w:r>
      <w:r w:rsidRPr="008E2873">
        <w:rPr>
          <w:rFonts w:cs="Times New Roman"/>
          <w:color w:val="auto"/>
          <w:szCs w:val="24"/>
        </w:rPr>
        <w:t>GB50137-2011</w:t>
      </w:r>
      <w:r w:rsidRPr="008E2873">
        <w:rPr>
          <w:rFonts w:cs="Times New Roman"/>
          <w:color w:val="auto"/>
          <w:szCs w:val="24"/>
        </w:rPr>
        <w:t>中一类工业用地可以引入的项目，包括：缝纫、工艺品制作、农产品加工等对居住和公共环境基本无干扰、污染和安全隐患的工业项目）。调整</w:t>
      </w:r>
      <w:r w:rsidRPr="008E2873">
        <w:rPr>
          <w:rFonts w:cs="Times New Roman"/>
          <w:color w:val="auto"/>
          <w:szCs w:val="24"/>
        </w:rPr>
        <w:lastRenderedPageBreak/>
        <w:t>后，永久片区规划的一类工业用地可以作为民族加工文化的旅游体验区，避免对林芝市中心城区、巴宜区东如片区造成影响。</w:t>
      </w:r>
    </w:p>
    <w:p w:rsidR="00FB66EE" w:rsidRPr="008E2873" w:rsidRDefault="00FB66EE" w:rsidP="00FB66EE">
      <w:pPr>
        <w:pStyle w:val="-"/>
        <w:rPr>
          <w:rFonts w:cs="Times New Roman"/>
          <w:color w:val="auto"/>
          <w:szCs w:val="24"/>
        </w:rPr>
      </w:pPr>
      <w:r w:rsidRPr="008E2873">
        <w:rPr>
          <w:rFonts w:cs="Times New Roman"/>
          <w:color w:val="auto"/>
          <w:szCs w:val="24"/>
        </w:rPr>
        <w:t>经调整后，规划区内的生物医药产业园均位于结麦片区，永久片区是以清洁能源总部经济、生态旅游商业为主，经开区规划的实施对林芝市中心城区、巴宜区东如片区影响较小。</w:t>
      </w:r>
    </w:p>
    <w:p w:rsidR="00FB66EE" w:rsidRPr="008E2873" w:rsidRDefault="00FB66EE" w:rsidP="00FB66EE">
      <w:pPr>
        <w:spacing w:line="360" w:lineRule="auto"/>
        <w:ind w:firstLineChars="200" w:firstLine="480"/>
        <w:rPr>
          <w:sz w:val="24"/>
        </w:rPr>
      </w:pPr>
      <w:r w:rsidRPr="008E2873">
        <w:rPr>
          <w:sz w:val="24"/>
        </w:rPr>
        <w:t>同时，规划环评提出建议：在结麦片区周边</w:t>
      </w:r>
      <w:r w:rsidRPr="008E2873">
        <w:rPr>
          <w:sz w:val="24"/>
        </w:rPr>
        <w:t>200m</w:t>
      </w:r>
      <w:r w:rsidRPr="008E2873">
        <w:rPr>
          <w:sz w:val="24"/>
        </w:rPr>
        <w:t>范围内不宜规划新建住宅区、学校、医院及其他社会关注点。</w:t>
      </w:r>
    </w:p>
    <w:p w:rsidR="00FB66EE" w:rsidRPr="008E2873" w:rsidRDefault="00FB66EE" w:rsidP="00FB66EE">
      <w:pPr>
        <w:spacing w:line="360" w:lineRule="auto"/>
        <w:ind w:firstLineChars="200" w:firstLine="480"/>
        <w:rPr>
          <w:sz w:val="24"/>
        </w:rPr>
      </w:pPr>
      <w:r w:rsidRPr="008E2873">
        <w:rPr>
          <w:sz w:val="24"/>
        </w:rPr>
        <w:t>3</w:t>
      </w:r>
      <w:r w:rsidRPr="008E2873">
        <w:rPr>
          <w:sz w:val="24"/>
        </w:rPr>
        <w:t>、永久片区目前存在与主导产业不符的企业</w:t>
      </w:r>
    </w:p>
    <w:p w:rsidR="00FB66EE" w:rsidRPr="008E2873" w:rsidRDefault="00FB66EE" w:rsidP="00FB66EE">
      <w:pPr>
        <w:pStyle w:val="-0"/>
        <w:ind w:firstLine="480"/>
        <w:rPr>
          <w:rFonts w:cs="Times New Roman"/>
          <w:b/>
          <w:szCs w:val="24"/>
        </w:rPr>
      </w:pPr>
      <w:r w:rsidRPr="008E2873">
        <w:rPr>
          <w:rFonts w:cs="Times New Roman"/>
          <w:szCs w:val="24"/>
        </w:rPr>
        <w:t>永久片区开发强度较大，在</w:t>
      </w:r>
      <w:r w:rsidRPr="008E2873">
        <w:rPr>
          <w:rFonts w:cs="Times New Roman"/>
          <w:szCs w:val="24"/>
        </w:rPr>
        <w:t>S306</w:t>
      </w:r>
      <w:r w:rsidRPr="008E2873">
        <w:rPr>
          <w:rFonts w:cs="Times New Roman"/>
          <w:szCs w:val="24"/>
        </w:rPr>
        <w:t>东侧沿线分布有零散的车辆维修、废品回收等作坊企业，现状作坊企业主要有东升汽修、汉强汽修、林芝金路通车业有限公司、林海木业包装厂、辉煌石业有限公司、多联塑胶厂、联成汽修厂等，具体见表</w:t>
      </w:r>
      <w:r w:rsidRPr="008E2873">
        <w:rPr>
          <w:rFonts w:cs="Times New Roman"/>
          <w:szCs w:val="24"/>
        </w:rPr>
        <w:t>3-14</w:t>
      </w:r>
      <w:r w:rsidRPr="008E2873">
        <w:rPr>
          <w:rFonts w:cs="Times New Roman"/>
          <w:szCs w:val="24"/>
        </w:rPr>
        <w:t>。该类企业未进行相应的环评手续，且与经开区用地规划及规划主导产业不相符，规划环评提出调整建议：三年内将现有园区中散乱企业搬迁出园。</w:t>
      </w:r>
    </w:p>
    <w:p w:rsidR="00FB66EE" w:rsidRPr="008E2873" w:rsidRDefault="00FB66EE" w:rsidP="00FB66EE">
      <w:pPr>
        <w:spacing w:line="360" w:lineRule="auto"/>
        <w:ind w:firstLineChars="200" w:firstLine="480"/>
        <w:rPr>
          <w:sz w:val="24"/>
        </w:rPr>
      </w:pPr>
      <w:r w:rsidRPr="008E2873">
        <w:rPr>
          <w:sz w:val="24"/>
        </w:rPr>
        <w:t>4</w:t>
      </w:r>
      <w:r w:rsidRPr="008E2873">
        <w:rPr>
          <w:sz w:val="24"/>
        </w:rPr>
        <w:t>、永久片区内居住和工业地块混杂、相互制约</w:t>
      </w:r>
    </w:p>
    <w:p w:rsidR="00FB66EE" w:rsidRPr="008E2873" w:rsidRDefault="00FB66EE" w:rsidP="00FB66EE">
      <w:pPr>
        <w:pStyle w:val="-"/>
        <w:rPr>
          <w:rFonts w:cs="Times New Roman"/>
          <w:color w:val="auto"/>
          <w:szCs w:val="24"/>
        </w:rPr>
      </w:pPr>
      <w:r w:rsidRPr="008E2873">
        <w:rPr>
          <w:rFonts w:cs="Times New Roman" w:hint="eastAsia"/>
          <w:color w:val="auto"/>
          <w:szCs w:val="24"/>
        </w:rPr>
        <w:t>（</w:t>
      </w:r>
      <w:r w:rsidRPr="008E2873">
        <w:rPr>
          <w:rFonts w:cs="Times New Roman" w:hint="eastAsia"/>
          <w:color w:val="auto"/>
          <w:szCs w:val="24"/>
        </w:rPr>
        <w:t>1</w:t>
      </w:r>
      <w:r w:rsidRPr="008E2873">
        <w:rPr>
          <w:rFonts w:cs="Times New Roman" w:hint="eastAsia"/>
          <w:color w:val="auto"/>
          <w:szCs w:val="24"/>
        </w:rPr>
        <w:t>）工业用地</w:t>
      </w:r>
    </w:p>
    <w:p w:rsidR="00FB66EE" w:rsidRPr="008E2873" w:rsidRDefault="00FB66EE" w:rsidP="00FB66EE">
      <w:pPr>
        <w:pStyle w:val="-"/>
        <w:rPr>
          <w:rFonts w:cs="Times New Roman"/>
          <w:color w:val="auto"/>
          <w:szCs w:val="24"/>
        </w:rPr>
      </w:pPr>
      <w:r w:rsidRPr="008E2873">
        <w:rPr>
          <w:rFonts w:cs="Times New Roman"/>
          <w:color w:val="auto"/>
          <w:szCs w:val="24"/>
        </w:rPr>
        <w:t>根据用地布局图可知，永久片区的工业用地均规划于整个区域的最北侧，并未与结麦片区连片发展，规划的居住组团与工业组团在永久片区内混杂，为了避免三块规划一类工业用地对片区生活空间造成影响。规划环评针对永久片区规划的一类工业用地提出调整建议：这三块工业用地，</w:t>
      </w:r>
      <w:r w:rsidRPr="008E2873">
        <w:rPr>
          <w:rFonts w:cs="Times New Roman" w:hint="eastAsia"/>
          <w:color w:val="auto"/>
          <w:szCs w:val="24"/>
        </w:rPr>
        <w:t>不再作为生物科技产业园，调整为现代服务产业园，</w:t>
      </w:r>
      <w:r w:rsidRPr="008E2873">
        <w:rPr>
          <w:rFonts w:cs="Times New Roman"/>
          <w:color w:val="auto"/>
          <w:szCs w:val="24"/>
        </w:rPr>
        <w:t>未来引入与生态旅游配套的民族手工业（即根据《城市用地分类与规划建设用地标准》</w:t>
      </w:r>
      <w:r w:rsidRPr="008E2873">
        <w:rPr>
          <w:rFonts w:cs="Times New Roman"/>
          <w:color w:val="auto"/>
          <w:szCs w:val="24"/>
        </w:rPr>
        <w:t>GB50137-2011</w:t>
      </w:r>
      <w:r w:rsidRPr="008E2873">
        <w:rPr>
          <w:rFonts w:cs="Times New Roman"/>
          <w:color w:val="auto"/>
          <w:szCs w:val="24"/>
        </w:rPr>
        <w:t>中一类工业用地可以引入的项目，包括：缝纫、工艺品制作、农产品加工等对居住和公共环境基本无干扰、污染和安全隐患的工业项目）。调整后，永久片区规划的一类工业用地可以作为民族加工文化的旅游体验区，避免对</w:t>
      </w:r>
      <w:r w:rsidRPr="008E2873">
        <w:rPr>
          <w:rFonts w:cs="Times New Roman" w:hint="eastAsia"/>
          <w:color w:val="auto"/>
          <w:szCs w:val="24"/>
        </w:rPr>
        <w:t>片区生活空间</w:t>
      </w:r>
      <w:r w:rsidRPr="008E2873">
        <w:rPr>
          <w:rFonts w:cs="Times New Roman"/>
          <w:color w:val="auto"/>
          <w:szCs w:val="24"/>
        </w:rPr>
        <w:t>造成影响。</w:t>
      </w:r>
    </w:p>
    <w:p w:rsidR="00FB66EE" w:rsidRPr="008E2873" w:rsidRDefault="00FB66EE" w:rsidP="00FB66EE">
      <w:pPr>
        <w:spacing w:line="360" w:lineRule="auto"/>
        <w:ind w:firstLine="480"/>
        <w:rPr>
          <w:sz w:val="24"/>
        </w:rPr>
      </w:pPr>
      <w:r w:rsidRPr="008E2873">
        <w:rPr>
          <w:rFonts w:hint="eastAsia"/>
          <w:sz w:val="24"/>
        </w:rPr>
        <w:t>（</w:t>
      </w:r>
      <w:r w:rsidRPr="008E2873">
        <w:rPr>
          <w:rFonts w:hint="eastAsia"/>
          <w:sz w:val="24"/>
        </w:rPr>
        <w:t>2</w:t>
      </w:r>
      <w:r w:rsidRPr="008E2873">
        <w:rPr>
          <w:rFonts w:hint="eastAsia"/>
          <w:sz w:val="24"/>
        </w:rPr>
        <w:t>）</w:t>
      </w:r>
      <w:r w:rsidRPr="008E2873">
        <w:rPr>
          <w:sz w:val="24"/>
        </w:rPr>
        <w:t>科技综合产业发展用地</w:t>
      </w:r>
      <w:r w:rsidRPr="008E2873">
        <w:rPr>
          <w:rFonts w:hint="eastAsia"/>
          <w:sz w:val="24"/>
        </w:rPr>
        <w:t>布局</w:t>
      </w:r>
    </w:p>
    <w:p w:rsidR="00FB66EE" w:rsidRPr="008E2873" w:rsidRDefault="00FB66EE" w:rsidP="00FB66EE">
      <w:pPr>
        <w:spacing w:line="360" w:lineRule="auto"/>
        <w:ind w:firstLine="480"/>
        <w:rPr>
          <w:sz w:val="24"/>
        </w:rPr>
      </w:pPr>
      <w:r w:rsidRPr="008E2873">
        <w:rPr>
          <w:rFonts w:hint="eastAsia"/>
          <w:sz w:val="24"/>
        </w:rPr>
        <w:t>永久片区规划了一块</w:t>
      </w:r>
      <w:r w:rsidRPr="008E2873">
        <w:rPr>
          <w:sz w:val="24"/>
        </w:rPr>
        <w:t>科技综合产业发展用地，</w:t>
      </w:r>
      <w:r w:rsidRPr="008E2873">
        <w:rPr>
          <w:rFonts w:hint="eastAsia"/>
          <w:sz w:val="24"/>
        </w:rPr>
        <w:t>由用地布局规划图和现有企业分布图可知，科技综合产业发展用地部分已建成金属结构厂，根据分析可知，金属结构厂在厂区平面布局上考虑了北侧的规划敏感目标，将喷涂工序（防腐车间）设置在整个厂区的东南面，划定的</w:t>
      </w:r>
      <w:r w:rsidRPr="008E2873">
        <w:rPr>
          <w:rFonts w:hint="eastAsia"/>
          <w:sz w:val="24"/>
        </w:rPr>
        <w:t>100</w:t>
      </w:r>
      <w:r w:rsidRPr="008E2873">
        <w:rPr>
          <w:rFonts w:hint="eastAsia"/>
          <w:sz w:val="24"/>
        </w:rPr>
        <w:t>卫生防护距离均在规划的科技综合产业发</w:t>
      </w:r>
      <w:r w:rsidRPr="008E2873">
        <w:rPr>
          <w:rFonts w:hint="eastAsia"/>
          <w:sz w:val="24"/>
        </w:rPr>
        <w:lastRenderedPageBreak/>
        <w:t>展用地内。</w:t>
      </w:r>
    </w:p>
    <w:p w:rsidR="00FB66EE" w:rsidRPr="008E2873" w:rsidRDefault="00FB66EE" w:rsidP="00FB66EE">
      <w:pPr>
        <w:spacing w:line="360" w:lineRule="auto"/>
        <w:ind w:firstLineChars="200" w:firstLine="480"/>
        <w:rPr>
          <w:sz w:val="24"/>
        </w:rPr>
      </w:pPr>
      <w:r w:rsidRPr="008E2873">
        <w:rPr>
          <w:rFonts w:hint="eastAsia"/>
          <w:sz w:val="24"/>
        </w:rPr>
        <w:t>考虑到科技综合产业发展用地未开发部分北侧隔永清河、国道</w:t>
      </w:r>
      <w:r w:rsidRPr="008E2873">
        <w:rPr>
          <w:rFonts w:hint="eastAsia"/>
          <w:sz w:val="24"/>
        </w:rPr>
        <w:t>318</w:t>
      </w:r>
      <w:r w:rsidRPr="008E2873">
        <w:rPr>
          <w:rFonts w:hint="eastAsia"/>
          <w:sz w:val="24"/>
        </w:rPr>
        <w:t>和防护绿地后为规划居住用地，规划环评对该地块进行建议：该地块未来引入的项目需考虑与北侧规划的居住用地相容性，引入对规划</w:t>
      </w:r>
      <w:r w:rsidRPr="008E2873">
        <w:rPr>
          <w:sz w:val="24"/>
        </w:rPr>
        <w:t>居住</w:t>
      </w:r>
      <w:r w:rsidRPr="008E2873">
        <w:rPr>
          <w:rFonts w:hint="eastAsia"/>
          <w:sz w:val="24"/>
        </w:rPr>
        <w:t>用地</w:t>
      </w:r>
      <w:r w:rsidRPr="008E2873">
        <w:rPr>
          <w:sz w:val="24"/>
        </w:rPr>
        <w:t>基本无干扰、污染和安全隐患的项目</w:t>
      </w:r>
      <w:r w:rsidRPr="008E2873">
        <w:rPr>
          <w:rFonts w:hint="eastAsia"/>
          <w:sz w:val="24"/>
        </w:rPr>
        <w:t>。</w:t>
      </w:r>
    </w:p>
    <w:p w:rsidR="00FB66EE" w:rsidRPr="008E2873" w:rsidRDefault="00FB66EE" w:rsidP="00FB66EE">
      <w:pPr>
        <w:spacing w:line="360" w:lineRule="auto"/>
        <w:ind w:firstLineChars="200" w:firstLine="480"/>
        <w:rPr>
          <w:sz w:val="24"/>
        </w:rPr>
      </w:pPr>
      <w:r w:rsidRPr="008E2873">
        <w:rPr>
          <w:sz w:val="24"/>
        </w:rPr>
        <w:t>经调整后，永久片区</w:t>
      </w:r>
      <w:r w:rsidRPr="008E2873">
        <w:rPr>
          <w:rFonts w:hint="eastAsia"/>
          <w:sz w:val="24"/>
        </w:rPr>
        <w:t>尚未开发的科技综合产业发展用地、规划一类工业用地未来引入的项目</w:t>
      </w:r>
      <w:r w:rsidRPr="008E2873">
        <w:rPr>
          <w:sz w:val="24"/>
        </w:rPr>
        <w:t>对永久片区内规划居住用地影响较小。</w:t>
      </w:r>
    </w:p>
    <w:p w:rsidR="00FB66EE" w:rsidRPr="008E2873" w:rsidRDefault="00FB66EE" w:rsidP="00FB66EE">
      <w:pPr>
        <w:snapToGrid w:val="0"/>
        <w:spacing w:line="360" w:lineRule="auto"/>
        <w:ind w:firstLine="480"/>
        <w:rPr>
          <w:sz w:val="24"/>
        </w:rPr>
      </w:pPr>
      <w:r w:rsidRPr="008E2873">
        <w:rPr>
          <w:sz w:val="24"/>
        </w:rPr>
        <w:t>5</w:t>
      </w:r>
      <w:r w:rsidRPr="008E2873">
        <w:rPr>
          <w:sz w:val="24"/>
        </w:rPr>
        <w:t>、一类工业用地的制约</w:t>
      </w:r>
    </w:p>
    <w:p w:rsidR="00FB66EE" w:rsidRPr="008E2873" w:rsidRDefault="00FB66EE" w:rsidP="00FB66EE">
      <w:pPr>
        <w:snapToGrid w:val="0"/>
        <w:spacing w:line="360" w:lineRule="auto"/>
        <w:ind w:firstLineChars="200" w:firstLine="480"/>
        <w:rPr>
          <w:kern w:val="0"/>
          <w:sz w:val="24"/>
        </w:rPr>
      </w:pPr>
      <w:r w:rsidRPr="008E2873">
        <w:rPr>
          <w:kern w:val="0"/>
          <w:sz w:val="24"/>
        </w:rPr>
        <w:t>林芝经济开发区内所有工业用地均规划为一类工业用地，但是，从实际出发，目前林芝经济开发区永久片区引入的企业水电七局金属结构厂，以及结麦片区引入的屠宰场，上述企业均不属于《城市用地分类与规划建设用地标准》</w:t>
      </w:r>
      <w:r w:rsidRPr="008E2873">
        <w:rPr>
          <w:kern w:val="0"/>
          <w:sz w:val="24"/>
        </w:rPr>
        <w:t>GB50137-2011</w:t>
      </w:r>
      <w:r w:rsidRPr="008E2873">
        <w:rPr>
          <w:kern w:val="0"/>
          <w:sz w:val="24"/>
        </w:rPr>
        <w:t>一类工业用地可引入的企业，属于二类工业用地可以引入的企业，若将规划区所有工业用地规划为一类工业用地，不仅上述现有企业从规划用地上均不符合，而且会限制后期引入</w:t>
      </w:r>
      <w:r w:rsidRPr="008E2873">
        <w:rPr>
          <w:rFonts w:hint="eastAsia"/>
          <w:kern w:val="0"/>
          <w:sz w:val="24"/>
        </w:rPr>
        <w:t>生物医药</w:t>
      </w:r>
      <w:r w:rsidRPr="008E2873">
        <w:rPr>
          <w:kern w:val="0"/>
          <w:sz w:val="24"/>
        </w:rPr>
        <w:t>企业</w:t>
      </w:r>
      <w:r w:rsidRPr="008E2873">
        <w:rPr>
          <w:rFonts w:hint="eastAsia"/>
          <w:kern w:val="0"/>
          <w:sz w:val="24"/>
        </w:rPr>
        <w:t>，导则规划区主导产业之一不能落地</w:t>
      </w:r>
      <w:r w:rsidRPr="008E2873">
        <w:rPr>
          <w:kern w:val="0"/>
          <w:sz w:val="24"/>
        </w:rPr>
        <w:t>。</w:t>
      </w:r>
    </w:p>
    <w:p w:rsidR="00FB66EE" w:rsidRPr="008E2873" w:rsidRDefault="00FB66EE" w:rsidP="00FB66EE">
      <w:pPr>
        <w:snapToGrid w:val="0"/>
        <w:spacing w:line="360" w:lineRule="auto"/>
        <w:ind w:firstLineChars="200" w:firstLine="480"/>
        <w:rPr>
          <w:kern w:val="0"/>
          <w:sz w:val="24"/>
        </w:rPr>
      </w:pPr>
      <w:r w:rsidRPr="008E2873">
        <w:rPr>
          <w:rFonts w:hint="eastAsia"/>
          <w:sz w:val="24"/>
        </w:rPr>
        <w:t>根据《西藏自治区林芝城市总体规划》，对于中心城区的工业用地并未明确类别；根据《巴宜区东如片区控制性详细规划》与规划区重合范围内的工业用地规划为一类工业用地，即永久片区规划的三块一类工业用地；</w:t>
      </w:r>
      <w:r w:rsidRPr="008E2873">
        <w:rPr>
          <w:kern w:val="0"/>
          <w:sz w:val="24"/>
        </w:rPr>
        <w:t>规划环评已经提出调整建议，永久片区规划的一类工业用地从生物医药产业园调整为现代服务产业园，未来引入与生态旅游配套的民族手工业（即根据《城市用地分类与规划建设用地标准》</w:t>
      </w:r>
      <w:r w:rsidRPr="008E2873">
        <w:rPr>
          <w:kern w:val="0"/>
          <w:sz w:val="24"/>
        </w:rPr>
        <w:t>GB50137-2011</w:t>
      </w:r>
      <w:r w:rsidRPr="008E2873">
        <w:rPr>
          <w:kern w:val="0"/>
          <w:sz w:val="24"/>
        </w:rPr>
        <w:t>中一类工业用地可以引入的项目，包括：缝纫、工艺品制作、农产品加工等对居住和公共环境基本无干扰、污染和安全隐患的工业项目）。调整后，永久片区规划的一类工业用地可以作为民族加工文化的旅游体验区，避免对林芝市中心城区、东如片区以及</w:t>
      </w:r>
      <w:r w:rsidRPr="008E2873">
        <w:rPr>
          <w:rFonts w:hint="eastAsia"/>
          <w:kern w:val="0"/>
          <w:sz w:val="24"/>
        </w:rPr>
        <w:t>规划区生活空间</w:t>
      </w:r>
      <w:r w:rsidRPr="008E2873">
        <w:rPr>
          <w:kern w:val="0"/>
          <w:sz w:val="24"/>
        </w:rPr>
        <w:t>造成影响。</w:t>
      </w:r>
    </w:p>
    <w:p w:rsidR="00FB66EE" w:rsidRPr="008E2873" w:rsidRDefault="00FB66EE" w:rsidP="00FB66EE">
      <w:pPr>
        <w:snapToGrid w:val="0"/>
        <w:spacing w:line="360" w:lineRule="auto"/>
        <w:ind w:firstLineChars="200" w:firstLine="480"/>
        <w:rPr>
          <w:kern w:val="0"/>
          <w:sz w:val="24"/>
        </w:rPr>
      </w:pPr>
      <w:r w:rsidRPr="008E2873">
        <w:rPr>
          <w:kern w:val="0"/>
          <w:sz w:val="24"/>
        </w:rPr>
        <w:t>永久片区最靠近结麦片区的居住用地距离结麦片区的工业用地约为</w:t>
      </w:r>
      <w:r w:rsidRPr="008E2873">
        <w:rPr>
          <w:kern w:val="0"/>
          <w:sz w:val="24"/>
        </w:rPr>
        <w:t>700m</w:t>
      </w:r>
      <w:r w:rsidRPr="008E2873">
        <w:rPr>
          <w:kern w:val="0"/>
          <w:sz w:val="24"/>
        </w:rPr>
        <w:t>，</w:t>
      </w:r>
      <w:r w:rsidRPr="008E2873">
        <w:rPr>
          <w:rFonts w:hint="eastAsia"/>
          <w:kern w:val="0"/>
          <w:sz w:val="24"/>
        </w:rPr>
        <w:t>结麦片区未规划居住、教育、医疗卫生等用地，</w:t>
      </w:r>
      <w:r w:rsidRPr="008E2873">
        <w:rPr>
          <w:kern w:val="0"/>
          <w:sz w:val="24"/>
        </w:rPr>
        <w:t>因此结麦片区规划工业用地不会跟居住</w:t>
      </w:r>
      <w:r w:rsidRPr="008E2873">
        <w:rPr>
          <w:rFonts w:hint="eastAsia"/>
          <w:kern w:val="0"/>
          <w:sz w:val="24"/>
        </w:rPr>
        <w:t>、教育、医疗卫生</w:t>
      </w:r>
      <w:r w:rsidRPr="008E2873">
        <w:rPr>
          <w:kern w:val="0"/>
          <w:sz w:val="24"/>
        </w:rPr>
        <w:t>等用地混杂</w:t>
      </w:r>
      <w:r w:rsidRPr="008E2873">
        <w:rPr>
          <w:rFonts w:hint="eastAsia"/>
          <w:kern w:val="0"/>
          <w:sz w:val="24"/>
        </w:rPr>
        <w:t>。并考虑到根据产业布局规划，整个结麦片区作为生物科技产业园，</w:t>
      </w:r>
      <w:r w:rsidRPr="008E2873">
        <w:rPr>
          <w:kern w:val="0"/>
          <w:sz w:val="24"/>
        </w:rPr>
        <w:t>因此规划环评提出调整建议，将结麦片区规划一类工业用地调整成二类工业用地，以便于规划主导产业</w:t>
      </w:r>
      <w:r w:rsidRPr="008E2873">
        <w:rPr>
          <w:rFonts w:hint="eastAsia"/>
          <w:kern w:val="0"/>
          <w:sz w:val="24"/>
        </w:rPr>
        <w:t>之一的生物医药产业在结麦片区顺利发展</w:t>
      </w:r>
      <w:r w:rsidRPr="008E2873">
        <w:rPr>
          <w:kern w:val="0"/>
          <w:sz w:val="24"/>
        </w:rPr>
        <w:t>。</w:t>
      </w:r>
    </w:p>
    <w:p w:rsidR="00FB66EE" w:rsidRPr="008E2873" w:rsidRDefault="00FB66EE" w:rsidP="00FB66EE">
      <w:pPr>
        <w:snapToGrid w:val="0"/>
        <w:spacing w:line="360" w:lineRule="auto"/>
        <w:ind w:firstLine="480"/>
        <w:rPr>
          <w:sz w:val="24"/>
        </w:rPr>
      </w:pPr>
      <w:r w:rsidRPr="008E2873">
        <w:rPr>
          <w:sz w:val="24"/>
        </w:rPr>
        <w:t>6</w:t>
      </w:r>
      <w:r w:rsidRPr="008E2873">
        <w:rPr>
          <w:sz w:val="24"/>
        </w:rPr>
        <w:t>、规划区受交通干线制约</w:t>
      </w:r>
    </w:p>
    <w:p w:rsidR="00FB66EE" w:rsidRPr="008E2873" w:rsidRDefault="00FB66EE" w:rsidP="00FB66EE">
      <w:pPr>
        <w:spacing w:line="360" w:lineRule="auto"/>
        <w:ind w:firstLineChars="200" w:firstLine="480"/>
        <w:rPr>
          <w:sz w:val="24"/>
        </w:rPr>
      </w:pPr>
      <w:r w:rsidRPr="008E2873">
        <w:rPr>
          <w:sz w:val="24"/>
        </w:rPr>
        <w:lastRenderedPageBreak/>
        <w:t>规划区交通优势较为明显，国道</w:t>
      </w:r>
      <w:r w:rsidRPr="008E2873">
        <w:rPr>
          <w:sz w:val="24"/>
        </w:rPr>
        <w:t>G318</w:t>
      </w:r>
      <w:r w:rsidRPr="008E2873">
        <w:rPr>
          <w:sz w:val="24"/>
        </w:rPr>
        <w:t>公路穿越规划区，省道</w:t>
      </w:r>
      <w:r w:rsidRPr="008E2873">
        <w:rPr>
          <w:sz w:val="24"/>
        </w:rPr>
        <w:t>S306</w:t>
      </w:r>
      <w:r w:rsidRPr="008E2873">
        <w:rPr>
          <w:sz w:val="24"/>
        </w:rPr>
        <w:t>位于规划区西侧，机场快速路位于结麦片区的东侧。但是交通干线也会对园区的发展形成一定的制约，根据《公路安全保护条例》的要求规划环评建议，根据《公路安全保护条例》，环评要求</w:t>
      </w:r>
      <w:r w:rsidRPr="008E2873">
        <w:rPr>
          <w:sz w:val="24"/>
        </w:rPr>
        <w:t>G318</w:t>
      </w:r>
      <w:r w:rsidRPr="008E2873">
        <w:rPr>
          <w:sz w:val="24"/>
        </w:rPr>
        <w:t>、</w:t>
      </w:r>
      <w:r w:rsidRPr="008E2873">
        <w:rPr>
          <w:sz w:val="24"/>
        </w:rPr>
        <w:t>S306</w:t>
      </w:r>
      <w:r w:rsidRPr="008E2873">
        <w:rPr>
          <w:sz w:val="24"/>
        </w:rPr>
        <w:t>、机场快速路用地外缘起向外</w:t>
      </w:r>
      <w:r w:rsidRPr="008E2873">
        <w:rPr>
          <w:sz w:val="24"/>
        </w:rPr>
        <w:t>100</w:t>
      </w:r>
      <w:r w:rsidRPr="008E2873">
        <w:rPr>
          <w:sz w:val="24"/>
        </w:rPr>
        <w:t>米禁止设立生产、销售易燃、易爆、剧毒、放射性等危险物品的场所、设施。</w:t>
      </w:r>
    </w:p>
    <w:p w:rsidR="00FB66EE" w:rsidRPr="008E2873" w:rsidRDefault="00FB66EE" w:rsidP="00FB66EE">
      <w:pPr>
        <w:snapToGrid w:val="0"/>
        <w:spacing w:line="360" w:lineRule="auto"/>
        <w:ind w:firstLineChars="200" w:firstLine="480"/>
        <w:rPr>
          <w:sz w:val="24"/>
        </w:rPr>
      </w:pPr>
      <w:r w:rsidRPr="008E2873">
        <w:rPr>
          <w:rFonts w:hint="eastAsia"/>
          <w:sz w:val="24"/>
        </w:rPr>
        <w:t>7</w:t>
      </w:r>
      <w:r w:rsidRPr="008E2873">
        <w:rPr>
          <w:rFonts w:hint="eastAsia"/>
          <w:sz w:val="24"/>
        </w:rPr>
        <w:t>、现有排水</w:t>
      </w:r>
      <w:r w:rsidRPr="008E2873">
        <w:rPr>
          <w:sz w:val="24"/>
        </w:rPr>
        <w:t>规划不能满足规划区</w:t>
      </w:r>
      <w:r w:rsidRPr="008E2873">
        <w:rPr>
          <w:rFonts w:hint="eastAsia"/>
          <w:sz w:val="24"/>
        </w:rPr>
        <w:t>发展</w:t>
      </w:r>
      <w:r w:rsidRPr="008E2873">
        <w:rPr>
          <w:sz w:val="24"/>
        </w:rPr>
        <w:t>的要求</w:t>
      </w:r>
    </w:p>
    <w:p w:rsidR="00FB66EE" w:rsidRPr="008E2873" w:rsidRDefault="00FB66EE" w:rsidP="00FB66EE">
      <w:pPr>
        <w:snapToGrid w:val="0"/>
        <w:spacing w:line="360" w:lineRule="auto"/>
        <w:ind w:firstLineChars="200" w:firstLine="480"/>
        <w:rPr>
          <w:sz w:val="24"/>
        </w:rPr>
      </w:pPr>
      <w:r w:rsidRPr="008E2873">
        <w:rPr>
          <w:rFonts w:hint="eastAsia"/>
          <w:sz w:val="24"/>
        </w:rPr>
        <w:t>根据</w:t>
      </w:r>
      <w:r w:rsidRPr="008E2873">
        <w:rPr>
          <w:rFonts w:hint="eastAsia"/>
          <w:sz w:val="24"/>
        </w:rPr>
        <w:t>8.1.6</w:t>
      </w:r>
      <w:r w:rsidRPr="008E2873">
        <w:rPr>
          <w:rFonts w:hint="eastAsia"/>
          <w:sz w:val="24"/>
        </w:rPr>
        <w:t>对排水</w:t>
      </w:r>
      <w:r w:rsidRPr="008E2873">
        <w:rPr>
          <w:sz w:val="24"/>
        </w:rPr>
        <w:t>规划的分析，</w:t>
      </w:r>
      <w:r w:rsidRPr="008E2873">
        <w:rPr>
          <w:rFonts w:hint="eastAsia"/>
          <w:sz w:val="24"/>
        </w:rPr>
        <w:t>规划</w:t>
      </w:r>
      <w:r w:rsidRPr="008E2873">
        <w:rPr>
          <w:sz w:val="24"/>
        </w:rPr>
        <w:t>污水处理厂的</w:t>
      </w:r>
      <w:r w:rsidRPr="008E2873">
        <w:rPr>
          <w:rFonts w:hint="eastAsia"/>
          <w:sz w:val="24"/>
        </w:rPr>
        <w:t>规模</w:t>
      </w:r>
      <w:r w:rsidRPr="008E2873">
        <w:rPr>
          <w:sz w:val="24"/>
        </w:rPr>
        <w:t>和工艺不能满足规划区</w:t>
      </w:r>
      <w:r w:rsidRPr="008E2873">
        <w:rPr>
          <w:rFonts w:hint="eastAsia"/>
          <w:sz w:val="24"/>
        </w:rPr>
        <w:t>发展</w:t>
      </w:r>
      <w:r w:rsidRPr="008E2873">
        <w:rPr>
          <w:sz w:val="24"/>
        </w:rPr>
        <w:t>的需求，规划环评提出如下调整建议：</w:t>
      </w:r>
    </w:p>
    <w:p w:rsidR="00FB66EE" w:rsidRPr="008E2873" w:rsidRDefault="00FB66EE" w:rsidP="00FB66EE">
      <w:pPr>
        <w:spacing w:line="360" w:lineRule="auto"/>
        <w:ind w:firstLineChars="200" w:firstLine="480"/>
        <w:rPr>
          <w:sz w:val="24"/>
        </w:rPr>
      </w:pPr>
      <w:r w:rsidRPr="008E2873">
        <w:rPr>
          <w:rFonts w:hint="eastAsia"/>
          <w:sz w:val="24"/>
        </w:rPr>
        <w:t>（</w:t>
      </w:r>
      <w:r w:rsidRPr="008E2873">
        <w:rPr>
          <w:rFonts w:hint="eastAsia"/>
          <w:sz w:val="24"/>
        </w:rPr>
        <w:t>1</w:t>
      </w:r>
      <w:r w:rsidRPr="008E2873">
        <w:rPr>
          <w:sz w:val="24"/>
        </w:rPr>
        <w:t>）</w:t>
      </w:r>
      <w:r w:rsidRPr="008E2873">
        <w:rPr>
          <w:rFonts w:hint="eastAsia"/>
          <w:sz w:val="24"/>
        </w:rPr>
        <w:t>河西</w:t>
      </w:r>
      <w:r w:rsidRPr="008E2873">
        <w:rPr>
          <w:sz w:val="24"/>
        </w:rPr>
        <w:t>污水处理厂</w:t>
      </w:r>
      <w:r w:rsidRPr="008E2873">
        <w:rPr>
          <w:rFonts w:hint="eastAsia"/>
          <w:sz w:val="24"/>
        </w:rPr>
        <w:t>处理工艺</w:t>
      </w:r>
      <w:r w:rsidRPr="008E2873">
        <w:rPr>
          <w:sz w:val="24"/>
        </w:rPr>
        <w:t>应</w:t>
      </w:r>
      <w:r w:rsidRPr="008E2873">
        <w:rPr>
          <w:rFonts w:hint="eastAsia"/>
          <w:sz w:val="24"/>
        </w:rPr>
        <w:t>在规划的</w:t>
      </w:r>
      <w:r w:rsidRPr="008E2873">
        <w:rPr>
          <w:sz w:val="24"/>
        </w:rPr>
        <w:t>一级强化处理</w:t>
      </w:r>
      <w:r w:rsidRPr="008E2873">
        <w:rPr>
          <w:rFonts w:hint="eastAsia"/>
          <w:sz w:val="24"/>
        </w:rPr>
        <w:t>和</w:t>
      </w:r>
      <w:r w:rsidRPr="008E2873">
        <w:rPr>
          <w:sz w:val="24"/>
        </w:rPr>
        <w:t>人工湿地处理工艺</w:t>
      </w:r>
      <w:r w:rsidRPr="008E2873">
        <w:rPr>
          <w:rFonts w:hint="eastAsia"/>
          <w:sz w:val="24"/>
        </w:rPr>
        <w:t>之间</w:t>
      </w:r>
      <w:r w:rsidRPr="008E2873">
        <w:rPr>
          <w:sz w:val="24"/>
        </w:rPr>
        <w:t>，增加二级生化处理工艺</w:t>
      </w:r>
      <w:r w:rsidRPr="008E2873">
        <w:rPr>
          <w:rFonts w:hint="eastAsia"/>
          <w:sz w:val="24"/>
        </w:rPr>
        <w:t>，形成</w:t>
      </w:r>
      <w:r w:rsidRPr="008E2873">
        <w:rPr>
          <w:sz w:val="24"/>
        </w:rPr>
        <w:t>一级强化</w:t>
      </w:r>
      <w:r w:rsidRPr="008E2873">
        <w:rPr>
          <w:rFonts w:hint="eastAsia"/>
          <w:sz w:val="24"/>
        </w:rPr>
        <w:t>+</w:t>
      </w:r>
      <w:r w:rsidRPr="008E2873">
        <w:rPr>
          <w:rFonts w:hint="eastAsia"/>
          <w:sz w:val="24"/>
        </w:rPr>
        <w:t>二级生化</w:t>
      </w:r>
      <w:r w:rsidRPr="008E2873">
        <w:rPr>
          <w:rFonts w:hint="eastAsia"/>
          <w:sz w:val="24"/>
        </w:rPr>
        <w:t>+</w:t>
      </w:r>
      <w:r w:rsidRPr="008E2873">
        <w:rPr>
          <w:rFonts w:hint="eastAsia"/>
          <w:sz w:val="24"/>
        </w:rPr>
        <w:t>人工</w:t>
      </w:r>
      <w:r w:rsidRPr="008E2873">
        <w:rPr>
          <w:sz w:val="24"/>
        </w:rPr>
        <w:t>湿地的处理工艺。考虑到林芝市属于</w:t>
      </w:r>
      <w:r w:rsidRPr="008E2873">
        <w:rPr>
          <w:rFonts w:hint="eastAsia"/>
          <w:sz w:val="24"/>
        </w:rPr>
        <w:t>高原</w:t>
      </w:r>
      <w:r w:rsidRPr="008E2873">
        <w:rPr>
          <w:sz w:val="24"/>
        </w:rPr>
        <w:t>、寒冷地区，人工湿地的植物选择上需</w:t>
      </w:r>
      <w:r w:rsidRPr="008E2873">
        <w:rPr>
          <w:rFonts w:hint="eastAsia"/>
          <w:sz w:val="24"/>
        </w:rPr>
        <w:t>考虑</w:t>
      </w:r>
      <w:r w:rsidRPr="008E2873">
        <w:rPr>
          <w:sz w:val="24"/>
        </w:rPr>
        <w:t>当地气候实际情况，</w:t>
      </w:r>
      <w:r w:rsidRPr="008E2873">
        <w:rPr>
          <w:rFonts w:hint="eastAsia"/>
          <w:sz w:val="24"/>
        </w:rPr>
        <w:t>采用</w:t>
      </w:r>
      <w:r w:rsidRPr="008E2873">
        <w:rPr>
          <w:sz w:val="24"/>
        </w:rPr>
        <w:t>耐寒、耐高原的植物。</w:t>
      </w:r>
    </w:p>
    <w:p w:rsidR="00FB66EE" w:rsidRPr="008E2873" w:rsidRDefault="00FB66EE" w:rsidP="00FB66EE">
      <w:pPr>
        <w:pStyle w:val="-1"/>
        <w:rPr>
          <w:rFonts w:cs="Times New Roman"/>
          <w:color w:val="auto"/>
          <w:szCs w:val="24"/>
        </w:rPr>
      </w:pPr>
      <w:r w:rsidRPr="008E2873">
        <w:rPr>
          <w:rFonts w:cs="Times New Roman" w:hint="eastAsia"/>
          <w:color w:val="auto"/>
          <w:szCs w:val="24"/>
        </w:rPr>
        <w:t>（</w:t>
      </w:r>
      <w:r w:rsidRPr="008E2873">
        <w:rPr>
          <w:rFonts w:cs="Times New Roman" w:hint="eastAsia"/>
          <w:color w:val="auto"/>
          <w:szCs w:val="24"/>
        </w:rPr>
        <w:t>2</w:t>
      </w:r>
      <w:r w:rsidRPr="008E2873">
        <w:rPr>
          <w:rFonts w:cs="Times New Roman" w:hint="eastAsia"/>
          <w:color w:val="auto"/>
          <w:szCs w:val="24"/>
        </w:rPr>
        <w:t>）</w:t>
      </w:r>
      <w:r w:rsidRPr="008E2873">
        <w:rPr>
          <w:rFonts w:cs="Times New Roman"/>
          <w:color w:val="auto"/>
          <w:szCs w:val="24"/>
        </w:rPr>
        <w:t>在污水处理厂一期建成投运后，根据规划区的发展现状和需求，合理设计二期处理能力，预留部分富余处理能力，以便应对区域经济发展不确定性可能带来的污水的增加，确保规划区废水</w:t>
      </w:r>
      <w:r w:rsidRPr="008E2873">
        <w:rPr>
          <w:rFonts w:cs="Times New Roman"/>
          <w:color w:val="auto"/>
          <w:szCs w:val="24"/>
        </w:rPr>
        <w:t>100%</w:t>
      </w:r>
      <w:r w:rsidRPr="008E2873">
        <w:rPr>
          <w:rFonts w:cs="Times New Roman"/>
          <w:color w:val="auto"/>
          <w:szCs w:val="24"/>
        </w:rPr>
        <w:t>得到处理。</w:t>
      </w:r>
    </w:p>
    <w:p w:rsidR="00FB66EE" w:rsidRPr="008E2873" w:rsidRDefault="00FB66EE" w:rsidP="00FB66EE">
      <w:pPr>
        <w:spacing w:line="360" w:lineRule="auto"/>
        <w:ind w:firstLineChars="200" w:firstLine="480"/>
        <w:rPr>
          <w:b/>
          <w:sz w:val="24"/>
        </w:rPr>
      </w:pPr>
      <w:r w:rsidRPr="008E2873">
        <w:rPr>
          <w:rFonts w:hint="eastAsia"/>
          <w:sz w:val="24"/>
        </w:rPr>
        <w:t>（</w:t>
      </w:r>
      <w:r w:rsidRPr="008E2873">
        <w:rPr>
          <w:rFonts w:hint="eastAsia"/>
          <w:sz w:val="24"/>
        </w:rPr>
        <w:t>3</w:t>
      </w:r>
      <w:r w:rsidRPr="008E2873">
        <w:rPr>
          <w:rFonts w:hint="eastAsia"/>
          <w:sz w:val="24"/>
        </w:rPr>
        <w:t>）目前河西新区污水处理厂设计进水指标偏低，不仅比林芝市拟建的工业园区污水处理厂设计进水指标低，比自治区已建城市生活污水处理厂设计进水指标低，考虑到污水处理厂原设计仅为一级强化加人工湿地的工艺，未采取二级生化处理工艺，设计方可能是基于处理效果有限，提出的设计进水指标要求较高。从实际出发，规划区废水主要为生活污水、生物医药产业废水，规划环评已提出调整建议污水处理厂处理工艺增加二级生化处理工艺，二级生化处理工艺对</w:t>
      </w:r>
      <w:r w:rsidRPr="008E2873">
        <w:rPr>
          <w:rFonts w:hint="eastAsia"/>
          <w:sz w:val="24"/>
        </w:rPr>
        <w:t>COD</w:t>
      </w:r>
      <w:r w:rsidRPr="008E2873">
        <w:rPr>
          <w:rFonts w:hint="eastAsia"/>
          <w:sz w:val="24"/>
        </w:rPr>
        <w:t>、</w:t>
      </w:r>
      <w:r w:rsidRPr="008E2873">
        <w:rPr>
          <w:rFonts w:hint="eastAsia"/>
          <w:sz w:val="24"/>
        </w:rPr>
        <w:t>BOD</w:t>
      </w:r>
      <w:r w:rsidRPr="008E2873">
        <w:rPr>
          <w:sz w:val="24"/>
          <w:vertAlign w:val="subscript"/>
        </w:rPr>
        <w:t>5</w:t>
      </w:r>
      <w:r w:rsidRPr="008E2873">
        <w:rPr>
          <w:rFonts w:hint="eastAsia"/>
          <w:sz w:val="24"/>
        </w:rPr>
        <w:t>等处理效果较好，因此考虑设计进水指标可适当放宽。具体放宽多少，需结合具体采取的工艺予以论证。需要说明的是，河西新区污水处理厂需先增加了二级生化处理工艺，再放宽污水处理厂设计进水水质要求。</w:t>
      </w:r>
    </w:p>
    <w:p w:rsidR="00FB66EE" w:rsidRPr="008E2873" w:rsidRDefault="00FB66EE" w:rsidP="00FB66EE">
      <w:pPr>
        <w:snapToGrid w:val="0"/>
        <w:spacing w:line="360" w:lineRule="auto"/>
        <w:ind w:firstLineChars="200" w:firstLine="480"/>
        <w:rPr>
          <w:sz w:val="24"/>
        </w:rPr>
      </w:pPr>
      <w:r w:rsidRPr="008E2873">
        <w:rPr>
          <w:rFonts w:hint="eastAsia"/>
          <w:sz w:val="24"/>
        </w:rPr>
        <w:t>8</w:t>
      </w:r>
      <w:r w:rsidRPr="008E2873">
        <w:rPr>
          <w:rFonts w:hint="eastAsia"/>
          <w:sz w:val="24"/>
        </w:rPr>
        <w:t>、基础</w:t>
      </w:r>
      <w:r w:rsidRPr="008E2873">
        <w:rPr>
          <w:sz w:val="24"/>
        </w:rPr>
        <w:t>设施建设滞后</w:t>
      </w:r>
    </w:p>
    <w:p w:rsidR="00FB66EE" w:rsidRPr="008E2873" w:rsidRDefault="00FB66EE" w:rsidP="00FB66EE">
      <w:pPr>
        <w:snapToGrid w:val="0"/>
        <w:spacing w:line="360" w:lineRule="auto"/>
        <w:ind w:firstLineChars="200" w:firstLine="480"/>
        <w:rPr>
          <w:sz w:val="24"/>
        </w:rPr>
      </w:pPr>
      <w:r w:rsidRPr="008E2873">
        <w:rPr>
          <w:sz w:val="24"/>
        </w:rPr>
        <w:t>基础设施等硬环境的投资建设条件是吸引产业转移的一个重要条件，会带动当地产业的发展，生产力的布局及城市化的发展。</w:t>
      </w:r>
    </w:p>
    <w:p w:rsidR="00FB66EE" w:rsidRPr="008E2873" w:rsidRDefault="00FB66EE" w:rsidP="00FB66EE">
      <w:pPr>
        <w:pStyle w:val="-1"/>
        <w:ind w:firstLineChars="0"/>
        <w:rPr>
          <w:rFonts w:cs="Times New Roman"/>
          <w:color w:val="auto"/>
          <w:szCs w:val="24"/>
        </w:rPr>
      </w:pPr>
      <w:r w:rsidRPr="008E2873">
        <w:rPr>
          <w:rFonts w:cs="Times New Roman"/>
          <w:color w:val="auto"/>
          <w:szCs w:val="24"/>
        </w:rPr>
        <w:t>目前，永久片区和结麦片区道路基本建成，雨污管网等基础设施建设较为落后，目前已有</w:t>
      </w:r>
      <w:r w:rsidRPr="008E2873">
        <w:rPr>
          <w:rFonts w:cs="Times New Roman" w:hint="eastAsia"/>
          <w:color w:val="auto"/>
          <w:szCs w:val="24"/>
        </w:rPr>
        <w:t>两</w:t>
      </w:r>
      <w:r w:rsidRPr="008E2873">
        <w:rPr>
          <w:rFonts w:cs="Times New Roman"/>
          <w:color w:val="auto"/>
          <w:szCs w:val="24"/>
        </w:rPr>
        <w:t>家企业入驻，但污水处理厂尚未建成，</w:t>
      </w:r>
      <w:r w:rsidRPr="008E2873">
        <w:rPr>
          <w:rFonts w:cs="Times New Roman" w:hint="eastAsia"/>
          <w:color w:val="auto"/>
          <w:szCs w:val="24"/>
        </w:rPr>
        <w:t>两</w:t>
      </w:r>
      <w:r w:rsidRPr="008E2873">
        <w:rPr>
          <w:rFonts w:cs="Times New Roman"/>
          <w:color w:val="auto"/>
          <w:szCs w:val="24"/>
        </w:rPr>
        <w:t>家企业中金属结构厂和屠宰场均使用的地下水；屠宰场废水经自建污水处理设施处理达标后外运用于果</w:t>
      </w:r>
      <w:r w:rsidRPr="008E2873">
        <w:rPr>
          <w:rFonts w:cs="Times New Roman"/>
          <w:color w:val="auto"/>
          <w:szCs w:val="24"/>
        </w:rPr>
        <w:lastRenderedPageBreak/>
        <w:t>林地农灌，金属结构厂生活污水经化粪池处理后由林芝国策环卫公司定期外运。</w:t>
      </w:r>
    </w:p>
    <w:p w:rsidR="00FB66EE" w:rsidRPr="008E2873" w:rsidRDefault="00FB66EE" w:rsidP="00FB66EE">
      <w:pPr>
        <w:pStyle w:val="-"/>
        <w:ind w:firstLine="482"/>
        <w:rPr>
          <w:rFonts w:cs="Times New Roman"/>
          <w:b/>
          <w:color w:val="auto"/>
          <w:szCs w:val="24"/>
        </w:rPr>
      </w:pPr>
      <w:r w:rsidRPr="008E2873">
        <w:rPr>
          <w:rFonts w:cs="Times New Roman"/>
          <w:b/>
          <w:color w:val="auto"/>
          <w:szCs w:val="24"/>
        </w:rPr>
        <w:t>规划环评建议：加快河西新区污水处理厂的建设，加快规划区管网等基础设施建设，为规划区实施做好准备，避免给企业用水、排水造成困难进而产生环境问题。</w:t>
      </w:r>
    </w:p>
    <w:p w:rsidR="00FB66EE" w:rsidRPr="008E2873" w:rsidRDefault="00FB66EE" w:rsidP="00FB66EE">
      <w:pPr>
        <w:snapToGrid w:val="0"/>
        <w:spacing w:line="360" w:lineRule="auto"/>
        <w:ind w:firstLineChars="200" w:firstLine="480"/>
        <w:rPr>
          <w:sz w:val="24"/>
        </w:rPr>
      </w:pPr>
      <w:r w:rsidRPr="008E2873">
        <w:rPr>
          <w:rFonts w:hint="eastAsia"/>
          <w:sz w:val="24"/>
        </w:rPr>
        <w:t>9</w:t>
      </w:r>
      <w:r w:rsidRPr="008E2873">
        <w:rPr>
          <w:rFonts w:hint="eastAsia"/>
          <w:sz w:val="24"/>
        </w:rPr>
        <w:t>、</w:t>
      </w:r>
      <w:r w:rsidRPr="008E2873">
        <w:rPr>
          <w:sz w:val="24"/>
        </w:rPr>
        <w:t>规划区防洪</w:t>
      </w:r>
      <w:r w:rsidRPr="008E2873">
        <w:rPr>
          <w:rFonts w:hint="eastAsia"/>
          <w:sz w:val="24"/>
        </w:rPr>
        <w:t>、</w:t>
      </w:r>
      <w:r w:rsidRPr="008E2873">
        <w:rPr>
          <w:sz w:val="24"/>
        </w:rPr>
        <w:t>防涝需求</w:t>
      </w:r>
    </w:p>
    <w:p w:rsidR="00FB66EE" w:rsidRPr="008E2873" w:rsidRDefault="00FB66EE" w:rsidP="00FB66EE">
      <w:pPr>
        <w:snapToGrid w:val="0"/>
        <w:spacing w:line="360" w:lineRule="auto"/>
        <w:ind w:firstLineChars="200" w:firstLine="480"/>
        <w:rPr>
          <w:sz w:val="24"/>
        </w:rPr>
      </w:pPr>
      <w:r w:rsidRPr="008E2873">
        <w:rPr>
          <w:sz w:val="24"/>
        </w:rPr>
        <w:t>整个规划区</w:t>
      </w:r>
      <w:r w:rsidRPr="008E2873">
        <w:rPr>
          <w:rFonts w:hint="eastAsia"/>
          <w:sz w:val="24"/>
        </w:rPr>
        <w:t>东临尼洋河</w:t>
      </w:r>
      <w:r w:rsidRPr="008E2873">
        <w:rPr>
          <w:sz w:val="24"/>
        </w:rPr>
        <w:t>，尼洋河洪水位要高出现状地面，规划区易受到尼洋河洪水的制约。</w:t>
      </w:r>
      <w:r w:rsidRPr="008E2873">
        <w:rPr>
          <w:rFonts w:hint="eastAsia"/>
          <w:sz w:val="24"/>
        </w:rPr>
        <w:t>规划区</w:t>
      </w:r>
      <w:r w:rsidRPr="008E2873">
        <w:rPr>
          <w:sz w:val="24"/>
        </w:rPr>
        <w:t>西侧有永久山和结麦山，流经规划区的两条河道永清河</w:t>
      </w:r>
      <w:r w:rsidRPr="008E2873">
        <w:rPr>
          <w:rFonts w:hint="eastAsia"/>
          <w:sz w:val="24"/>
        </w:rPr>
        <w:t>和</w:t>
      </w:r>
      <w:r w:rsidRPr="008E2873">
        <w:rPr>
          <w:sz w:val="24"/>
        </w:rPr>
        <w:t>银久弄巴河</w:t>
      </w:r>
      <w:r w:rsidRPr="008E2873">
        <w:rPr>
          <w:rFonts w:hint="eastAsia"/>
          <w:sz w:val="24"/>
        </w:rPr>
        <w:t>均为山洪</w:t>
      </w:r>
      <w:r w:rsidRPr="008E2873">
        <w:rPr>
          <w:sz w:val="24"/>
        </w:rPr>
        <w:t>河道，易收到西侧山洪</w:t>
      </w:r>
      <w:r w:rsidRPr="008E2873">
        <w:rPr>
          <w:rFonts w:hint="eastAsia"/>
          <w:sz w:val="24"/>
        </w:rPr>
        <w:t>的</w:t>
      </w:r>
      <w:r w:rsidRPr="008E2873">
        <w:rPr>
          <w:sz w:val="24"/>
        </w:rPr>
        <w:t>制约</w:t>
      </w:r>
      <w:r w:rsidRPr="008E2873">
        <w:rPr>
          <w:rFonts w:hint="eastAsia"/>
          <w:sz w:val="24"/>
        </w:rPr>
        <w:t>。整个规划区由于地势较低，除了尼洋河洪水，山洪的制约之外，还受到内涝的制约。</w:t>
      </w:r>
    </w:p>
    <w:p w:rsidR="00FB66EE" w:rsidRPr="008E2873" w:rsidRDefault="00FB66EE" w:rsidP="00FB66EE">
      <w:pPr>
        <w:snapToGrid w:val="0"/>
        <w:spacing w:line="360" w:lineRule="auto"/>
        <w:ind w:firstLineChars="200" w:firstLine="480"/>
        <w:rPr>
          <w:sz w:val="24"/>
        </w:rPr>
      </w:pPr>
      <w:r w:rsidRPr="008E2873">
        <w:rPr>
          <w:sz w:val="24"/>
        </w:rPr>
        <w:t>规划环评要求</w:t>
      </w:r>
      <w:r w:rsidRPr="008E2873">
        <w:rPr>
          <w:rFonts w:hint="eastAsia"/>
          <w:sz w:val="24"/>
        </w:rPr>
        <w:t>：</w:t>
      </w:r>
    </w:p>
    <w:p w:rsidR="00FB66EE" w:rsidRPr="008E2873" w:rsidRDefault="00FB66EE" w:rsidP="00FB66EE">
      <w:pPr>
        <w:snapToGrid w:val="0"/>
        <w:spacing w:line="360" w:lineRule="auto"/>
        <w:ind w:firstLineChars="200" w:firstLine="480"/>
        <w:rPr>
          <w:sz w:val="24"/>
        </w:rPr>
      </w:pPr>
      <w:r w:rsidRPr="008E2873">
        <w:rPr>
          <w:sz w:val="24"/>
        </w:rPr>
        <w:fldChar w:fldCharType="begin"/>
      </w:r>
      <w:r w:rsidRPr="008E2873">
        <w:rPr>
          <w:sz w:val="24"/>
        </w:rPr>
        <w:instrText xml:space="preserve"> </w:instrText>
      </w:r>
      <w:r w:rsidRPr="008E2873">
        <w:rPr>
          <w:rFonts w:hint="eastAsia"/>
          <w:sz w:val="24"/>
        </w:rPr>
        <w:instrText>= 1 \* GB3</w:instrText>
      </w:r>
      <w:r w:rsidRPr="008E2873">
        <w:rPr>
          <w:sz w:val="24"/>
        </w:rPr>
        <w:instrText xml:space="preserve"> </w:instrText>
      </w:r>
      <w:r w:rsidRPr="008E2873">
        <w:rPr>
          <w:sz w:val="24"/>
        </w:rPr>
        <w:fldChar w:fldCharType="separate"/>
      </w:r>
      <w:r w:rsidRPr="008E2873">
        <w:rPr>
          <w:rFonts w:hint="eastAsia"/>
          <w:sz w:val="24"/>
        </w:rPr>
        <w:t>①</w:t>
      </w:r>
      <w:r w:rsidRPr="008E2873">
        <w:rPr>
          <w:sz w:val="24"/>
        </w:rPr>
        <w:fldChar w:fldCharType="end"/>
      </w:r>
      <w:r w:rsidRPr="008E2873">
        <w:rPr>
          <w:sz w:val="24"/>
        </w:rPr>
        <w:t>目前尼洋河已建设部分防洪堤，规划环评要求尽快实施整个规划</w:t>
      </w:r>
      <w:r w:rsidRPr="008E2873">
        <w:rPr>
          <w:rFonts w:hint="eastAsia"/>
          <w:sz w:val="24"/>
        </w:rPr>
        <w:t>东</w:t>
      </w:r>
      <w:r w:rsidRPr="008E2873">
        <w:rPr>
          <w:sz w:val="24"/>
        </w:rPr>
        <w:t>侧的防洪堤建设，以满足规划区防尼洋河洪水的需求</w:t>
      </w:r>
      <w:r w:rsidRPr="008E2873">
        <w:rPr>
          <w:rFonts w:hint="eastAsia"/>
          <w:sz w:val="24"/>
        </w:rPr>
        <w:t>；</w:t>
      </w:r>
    </w:p>
    <w:p w:rsidR="00FB66EE" w:rsidRPr="008E2873" w:rsidRDefault="00FB66EE" w:rsidP="00FB66EE">
      <w:pPr>
        <w:snapToGrid w:val="0"/>
        <w:spacing w:line="360" w:lineRule="auto"/>
        <w:ind w:firstLineChars="200" w:firstLine="480"/>
        <w:rPr>
          <w:sz w:val="24"/>
        </w:rPr>
      </w:pPr>
      <w:r w:rsidRPr="008E2873">
        <w:rPr>
          <w:sz w:val="24"/>
        </w:rPr>
        <w:fldChar w:fldCharType="begin"/>
      </w:r>
      <w:r w:rsidRPr="008E2873">
        <w:rPr>
          <w:sz w:val="24"/>
        </w:rPr>
        <w:instrText xml:space="preserve"> </w:instrText>
      </w:r>
      <w:r w:rsidRPr="008E2873">
        <w:rPr>
          <w:rFonts w:hint="eastAsia"/>
          <w:sz w:val="24"/>
        </w:rPr>
        <w:instrText>= 2 \* GB3</w:instrText>
      </w:r>
      <w:r w:rsidRPr="008E2873">
        <w:rPr>
          <w:sz w:val="24"/>
        </w:rPr>
        <w:instrText xml:space="preserve"> </w:instrText>
      </w:r>
      <w:r w:rsidRPr="008E2873">
        <w:rPr>
          <w:sz w:val="24"/>
        </w:rPr>
        <w:fldChar w:fldCharType="separate"/>
      </w:r>
      <w:r w:rsidRPr="008E2873">
        <w:rPr>
          <w:rFonts w:hint="eastAsia"/>
          <w:sz w:val="24"/>
        </w:rPr>
        <w:t>②</w:t>
      </w:r>
      <w:r w:rsidRPr="008E2873">
        <w:rPr>
          <w:sz w:val="24"/>
        </w:rPr>
        <w:fldChar w:fldCharType="end"/>
      </w:r>
      <w:r w:rsidRPr="008E2873">
        <w:rPr>
          <w:sz w:val="24"/>
        </w:rPr>
        <w:t>在规划实施初期按防洪规范要求对两条山洪河道进行设计</w:t>
      </w:r>
      <w:r w:rsidRPr="008E2873">
        <w:rPr>
          <w:rFonts w:hint="eastAsia"/>
          <w:sz w:val="24"/>
        </w:rPr>
        <w:t>和</w:t>
      </w:r>
      <w:r w:rsidRPr="008E2873">
        <w:rPr>
          <w:sz w:val="24"/>
        </w:rPr>
        <w:t>整修</w:t>
      </w:r>
      <w:r w:rsidRPr="008E2873">
        <w:rPr>
          <w:rFonts w:hint="eastAsia"/>
          <w:sz w:val="24"/>
        </w:rPr>
        <w:t>；</w:t>
      </w:r>
    </w:p>
    <w:p w:rsidR="00FB66EE" w:rsidRPr="008E2873" w:rsidRDefault="00FB66EE" w:rsidP="00FB66EE">
      <w:pPr>
        <w:snapToGrid w:val="0"/>
        <w:spacing w:line="360" w:lineRule="auto"/>
        <w:ind w:firstLineChars="200" w:firstLine="480"/>
        <w:rPr>
          <w:sz w:val="24"/>
        </w:rPr>
      </w:pPr>
      <w:r w:rsidRPr="008E2873">
        <w:rPr>
          <w:sz w:val="24"/>
        </w:rPr>
        <w:fldChar w:fldCharType="begin"/>
      </w:r>
      <w:r w:rsidRPr="008E2873">
        <w:rPr>
          <w:sz w:val="24"/>
        </w:rPr>
        <w:instrText xml:space="preserve"> </w:instrText>
      </w:r>
      <w:r w:rsidRPr="008E2873">
        <w:rPr>
          <w:rFonts w:hint="eastAsia"/>
          <w:sz w:val="24"/>
        </w:rPr>
        <w:instrText>= 3 \* GB3</w:instrText>
      </w:r>
      <w:r w:rsidRPr="008E2873">
        <w:rPr>
          <w:sz w:val="24"/>
        </w:rPr>
        <w:instrText xml:space="preserve"> </w:instrText>
      </w:r>
      <w:r w:rsidRPr="008E2873">
        <w:rPr>
          <w:sz w:val="24"/>
        </w:rPr>
        <w:fldChar w:fldCharType="separate"/>
      </w:r>
      <w:r w:rsidRPr="008E2873">
        <w:rPr>
          <w:rFonts w:hint="eastAsia"/>
          <w:sz w:val="24"/>
        </w:rPr>
        <w:t>③</w:t>
      </w:r>
      <w:r w:rsidRPr="008E2873">
        <w:rPr>
          <w:sz w:val="24"/>
        </w:rPr>
        <w:fldChar w:fldCharType="end"/>
      </w:r>
      <w:r w:rsidRPr="008E2873">
        <w:rPr>
          <w:rFonts w:hint="eastAsia"/>
          <w:sz w:val="24"/>
        </w:rPr>
        <w:t>结合《林芝</w:t>
      </w:r>
      <w:r w:rsidRPr="008E2873">
        <w:rPr>
          <w:sz w:val="24"/>
        </w:rPr>
        <w:t>市中心城区海绵城市专项规划</w:t>
      </w:r>
      <w:r w:rsidRPr="008E2873">
        <w:rPr>
          <w:rFonts w:hint="eastAsia"/>
          <w:sz w:val="24"/>
        </w:rPr>
        <w:t>（</w:t>
      </w:r>
      <w:r w:rsidRPr="008E2873">
        <w:rPr>
          <w:rFonts w:hint="eastAsia"/>
          <w:sz w:val="24"/>
        </w:rPr>
        <w:t>2017-2030</w:t>
      </w:r>
      <w:r w:rsidRPr="008E2873">
        <w:rPr>
          <w:rFonts w:hint="eastAsia"/>
          <w:sz w:val="24"/>
        </w:rPr>
        <w:t>年）》，</w:t>
      </w:r>
      <w:r w:rsidRPr="008E2873">
        <w:rPr>
          <w:sz w:val="24"/>
        </w:rPr>
        <w:t>进一步</w:t>
      </w:r>
      <w:r w:rsidRPr="008E2873">
        <w:rPr>
          <w:rFonts w:hint="eastAsia"/>
          <w:sz w:val="24"/>
        </w:rPr>
        <w:t>对规划区</w:t>
      </w:r>
      <w:r w:rsidRPr="008E2873">
        <w:rPr>
          <w:sz w:val="24"/>
        </w:rPr>
        <w:t>内</w:t>
      </w:r>
      <w:r w:rsidRPr="008E2873">
        <w:rPr>
          <w:rFonts w:hint="eastAsia"/>
          <w:sz w:val="24"/>
        </w:rPr>
        <w:t>易涝</w:t>
      </w:r>
      <w:r w:rsidRPr="008E2873">
        <w:rPr>
          <w:sz w:val="24"/>
        </w:rPr>
        <w:t>区域</w:t>
      </w:r>
      <w:r w:rsidRPr="008E2873">
        <w:rPr>
          <w:rFonts w:hint="eastAsia"/>
          <w:sz w:val="24"/>
        </w:rPr>
        <w:t>采取各项</w:t>
      </w:r>
      <w:r w:rsidRPr="008E2873">
        <w:rPr>
          <w:sz w:val="24"/>
        </w:rPr>
        <w:t>措施予以治理</w:t>
      </w:r>
      <w:r w:rsidRPr="008E2873">
        <w:rPr>
          <w:rFonts w:hint="eastAsia"/>
          <w:sz w:val="24"/>
        </w:rPr>
        <w:t>；</w:t>
      </w:r>
    </w:p>
    <w:p w:rsidR="00FB66EE" w:rsidRPr="008E2873" w:rsidRDefault="00FB66EE" w:rsidP="00FB66EE">
      <w:pPr>
        <w:snapToGrid w:val="0"/>
        <w:spacing w:line="360" w:lineRule="auto"/>
        <w:ind w:firstLineChars="200" w:firstLine="480"/>
        <w:rPr>
          <w:sz w:val="24"/>
        </w:rPr>
      </w:pPr>
      <w:r w:rsidRPr="008E2873">
        <w:rPr>
          <w:sz w:val="24"/>
        </w:rPr>
        <w:fldChar w:fldCharType="begin"/>
      </w:r>
      <w:r w:rsidRPr="008E2873">
        <w:rPr>
          <w:sz w:val="24"/>
        </w:rPr>
        <w:instrText xml:space="preserve"> </w:instrText>
      </w:r>
      <w:r w:rsidRPr="008E2873">
        <w:rPr>
          <w:rFonts w:hint="eastAsia"/>
          <w:sz w:val="24"/>
        </w:rPr>
        <w:instrText>= 4 \* GB3</w:instrText>
      </w:r>
      <w:r w:rsidRPr="008E2873">
        <w:rPr>
          <w:sz w:val="24"/>
        </w:rPr>
        <w:instrText xml:space="preserve"> </w:instrText>
      </w:r>
      <w:r w:rsidRPr="008E2873">
        <w:rPr>
          <w:sz w:val="24"/>
        </w:rPr>
        <w:fldChar w:fldCharType="separate"/>
      </w:r>
      <w:r w:rsidRPr="008E2873">
        <w:rPr>
          <w:rFonts w:hint="eastAsia"/>
          <w:noProof/>
          <w:sz w:val="24"/>
        </w:rPr>
        <w:t>④</w:t>
      </w:r>
      <w:r w:rsidRPr="008E2873">
        <w:rPr>
          <w:sz w:val="24"/>
        </w:rPr>
        <w:fldChar w:fldCharType="end"/>
      </w:r>
      <w:r w:rsidRPr="008E2873">
        <w:rPr>
          <w:rFonts w:hint="eastAsia"/>
          <w:sz w:val="24"/>
        </w:rPr>
        <w:t>经开区</w:t>
      </w:r>
      <w:r w:rsidRPr="008E2873">
        <w:rPr>
          <w:sz w:val="24"/>
        </w:rPr>
        <w:t>管委会需制定防洪</w:t>
      </w:r>
      <w:r w:rsidRPr="008E2873">
        <w:rPr>
          <w:rFonts w:hint="eastAsia"/>
          <w:sz w:val="24"/>
        </w:rPr>
        <w:t>、</w:t>
      </w:r>
      <w:r w:rsidRPr="008E2873">
        <w:rPr>
          <w:sz w:val="24"/>
        </w:rPr>
        <w:t>防涝应急预案</w:t>
      </w:r>
      <w:r w:rsidRPr="008E2873">
        <w:rPr>
          <w:rFonts w:hint="eastAsia"/>
          <w:sz w:val="24"/>
        </w:rPr>
        <w:t>，避免尼洋河</w:t>
      </w:r>
      <w:r w:rsidRPr="008E2873">
        <w:rPr>
          <w:sz w:val="24"/>
        </w:rPr>
        <w:t>洪水、山洪、内涝</w:t>
      </w:r>
      <w:r w:rsidRPr="008E2873">
        <w:rPr>
          <w:rFonts w:hint="eastAsia"/>
          <w:sz w:val="24"/>
        </w:rPr>
        <w:t>引发经开区</w:t>
      </w:r>
      <w:r w:rsidRPr="008E2873">
        <w:rPr>
          <w:sz w:val="24"/>
        </w:rPr>
        <w:t>内</w:t>
      </w:r>
      <w:r w:rsidRPr="008E2873">
        <w:rPr>
          <w:rFonts w:hint="eastAsia"/>
          <w:sz w:val="24"/>
        </w:rPr>
        <w:t>企业物料等逸散，</w:t>
      </w:r>
      <w:r w:rsidRPr="008E2873">
        <w:rPr>
          <w:sz w:val="24"/>
        </w:rPr>
        <w:t>从而</w:t>
      </w:r>
      <w:r w:rsidRPr="008E2873">
        <w:rPr>
          <w:rFonts w:hint="eastAsia"/>
          <w:sz w:val="24"/>
        </w:rPr>
        <w:t>对</w:t>
      </w:r>
      <w:r w:rsidRPr="008E2873">
        <w:rPr>
          <w:sz w:val="24"/>
        </w:rPr>
        <w:t>地表水、地下水、土壤环境造成影响。</w:t>
      </w:r>
    </w:p>
    <w:p w:rsidR="00F92B52" w:rsidRPr="008E2873" w:rsidRDefault="00F92B52" w:rsidP="001E5649">
      <w:pPr>
        <w:pStyle w:val="1"/>
        <w:spacing w:before="120" w:after="120" w:line="360" w:lineRule="auto"/>
        <w:rPr>
          <w:sz w:val="28"/>
          <w:szCs w:val="28"/>
        </w:rPr>
      </w:pPr>
      <w:r w:rsidRPr="008E2873">
        <w:rPr>
          <w:sz w:val="28"/>
          <w:szCs w:val="28"/>
        </w:rPr>
        <w:t>六</w:t>
      </w:r>
      <w:r w:rsidRPr="008E2873">
        <w:rPr>
          <w:rFonts w:hint="eastAsia"/>
          <w:sz w:val="28"/>
          <w:szCs w:val="28"/>
        </w:rPr>
        <w:t>、</w:t>
      </w:r>
      <w:r w:rsidRPr="008E2873">
        <w:rPr>
          <w:sz w:val="28"/>
          <w:szCs w:val="28"/>
        </w:rPr>
        <w:t>规划环评提出的调整建议</w:t>
      </w:r>
    </w:p>
    <w:p w:rsidR="00F92B52" w:rsidRPr="008E2873" w:rsidRDefault="00324C71" w:rsidP="00F92B52">
      <w:pPr>
        <w:spacing w:line="360" w:lineRule="auto"/>
        <w:ind w:firstLineChars="200" w:firstLine="480"/>
        <w:rPr>
          <w:sz w:val="24"/>
        </w:rPr>
      </w:pPr>
      <w:r w:rsidRPr="008E2873">
        <w:rPr>
          <w:sz w:val="24"/>
        </w:rPr>
        <w:t>规划环评的规划调整建议见下表</w:t>
      </w:r>
      <w:r w:rsidRPr="008E2873">
        <w:rPr>
          <w:rFonts w:hint="eastAsia"/>
          <w:sz w:val="24"/>
        </w:rPr>
        <w:t>1</w:t>
      </w:r>
      <w:r w:rsidRPr="008E2873">
        <w:rPr>
          <w:sz w:val="24"/>
        </w:rPr>
        <w:t>-1</w:t>
      </w:r>
      <w:r w:rsidRPr="008E2873">
        <w:rPr>
          <w:rFonts w:hint="eastAsia"/>
          <w:sz w:val="24"/>
        </w:rPr>
        <w:t>。</w:t>
      </w:r>
    </w:p>
    <w:p w:rsidR="00F92B52" w:rsidRPr="008E2873" w:rsidRDefault="00324C71" w:rsidP="00324C71">
      <w:pPr>
        <w:spacing w:line="360" w:lineRule="auto"/>
        <w:jc w:val="center"/>
        <w:rPr>
          <w:b/>
          <w:sz w:val="24"/>
        </w:rPr>
      </w:pPr>
      <w:r w:rsidRPr="008E2873">
        <w:rPr>
          <w:b/>
          <w:sz w:val="24"/>
        </w:rPr>
        <w:t>表</w:t>
      </w:r>
      <w:r w:rsidRPr="008E2873">
        <w:rPr>
          <w:rFonts w:hint="eastAsia"/>
          <w:b/>
          <w:sz w:val="24"/>
        </w:rPr>
        <w:t>1-</w:t>
      </w:r>
      <w:r w:rsidRPr="008E2873">
        <w:rPr>
          <w:b/>
          <w:sz w:val="24"/>
        </w:rPr>
        <w:t xml:space="preserve">1  </w:t>
      </w:r>
      <w:r w:rsidRPr="008E2873">
        <w:rPr>
          <w:b/>
          <w:sz w:val="24"/>
        </w:rPr>
        <w:t>规划区详细性规划优化调整建议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0"/>
        <w:gridCol w:w="654"/>
        <w:gridCol w:w="877"/>
        <w:gridCol w:w="3251"/>
        <w:gridCol w:w="3054"/>
      </w:tblGrid>
      <w:tr w:rsidR="008E2873" w:rsidRPr="008E2873" w:rsidTr="002B7E8B">
        <w:trPr>
          <w:trHeight w:val="340"/>
          <w:tblHeader/>
          <w:jc w:val="center"/>
        </w:trPr>
        <w:tc>
          <w:tcPr>
            <w:tcW w:w="0" w:type="auto"/>
            <w:vAlign w:val="center"/>
          </w:tcPr>
          <w:p w:rsidR="00FB66EE" w:rsidRPr="008E2873" w:rsidRDefault="00FB66EE" w:rsidP="002B7E8B">
            <w:pPr>
              <w:pStyle w:val="111"/>
              <w:spacing w:line="240" w:lineRule="auto"/>
              <w:ind w:left="0" w:firstLineChars="0" w:firstLine="0"/>
              <w:jc w:val="center"/>
              <w:rPr>
                <w:rFonts w:cs="Times New Roman"/>
                <w:b/>
                <w:sz w:val="21"/>
                <w:szCs w:val="21"/>
              </w:rPr>
            </w:pPr>
            <w:r w:rsidRPr="008E2873">
              <w:rPr>
                <w:rFonts w:cs="Times New Roman"/>
                <w:b/>
                <w:sz w:val="21"/>
                <w:szCs w:val="21"/>
              </w:rPr>
              <w:t>序号</w:t>
            </w:r>
          </w:p>
        </w:tc>
        <w:tc>
          <w:tcPr>
            <w:tcW w:w="0" w:type="auto"/>
            <w:gridSpan w:val="2"/>
            <w:vAlign w:val="center"/>
          </w:tcPr>
          <w:p w:rsidR="00FB66EE" w:rsidRPr="008E2873" w:rsidRDefault="00FB66EE" w:rsidP="002B7E8B">
            <w:pPr>
              <w:pStyle w:val="111"/>
              <w:spacing w:line="240" w:lineRule="auto"/>
              <w:ind w:left="0" w:firstLineChars="0" w:firstLine="0"/>
              <w:jc w:val="center"/>
              <w:rPr>
                <w:rFonts w:cs="Times New Roman"/>
                <w:b/>
                <w:sz w:val="21"/>
                <w:szCs w:val="21"/>
              </w:rPr>
            </w:pPr>
            <w:r w:rsidRPr="008E2873">
              <w:rPr>
                <w:rFonts w:cs="Times New Roman"/>
                <w:b/>
                <w:sz w:val="21"/>
                <w:szCs w:val="21"/>
              </w:rPr>
              <w:t>规划</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b/>
                <w:sz w:val="21"/>
                <w:szCs w:val="21"/>
              </w:rPr>
            </w:pPr>
            <w:r w:rsidRPr="008E2873">
              <w:rPr>
                <w:rFonts w:cs="Times New Roman"/>
                <w:b/>
                <w:sz w:val="21"/>
                <w:szCs w:val="21"/>
              </w:rPr>
              <w:t>规划内容</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b/>
                <w:sz w:val="21"/>
                <w:szCs w:val="21"/>
              </w:rPr>
            </w:pPr>
            <w:r w:rsidRPr="008E2873">
              <w:rPr>
                <w:rFonts w:cs="Times New Roman"/>
                <w:b/>
                <w:sz w:val="21"/>
                <w:szCs w:val="21"/>
              </w:rPr>
              <w:t>优化或调整建议与要求</w:t>
            </w:r>
          </w:p>
        </w:tc>
      </w:tr>
      <w:tr w:rsidR="008E2873" w:rsidRPr="008E2873" w:rsidTr="002B7E8B">
        <w:trPr>
          <w:trHeight w:val="340"/>
          <w:jc w:val="center"/>
        </w:trPr>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1</w:t>
            </w:r>
          </w:p>
        </w:tc>
        <w:tc>
          <w:tcPr>
            <w:tcW w:w="0" w:type="auto"/>
            <w:gridSpan w:val="2"/>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产业定位</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清洁能源、生态旅游、生物医药</w:t>
            </w:r>
          </w:p>
        </w:tc>
        <w:tc>
          <w:tcPr>
            <w:tcW w:w="0" w:type="auto"/>
            <w:vAlign w:val="center"/>
          </w:tcPr>
          <w:p w:rsidR="00FB66EE" w:rsidRPr="008E2873" w:rsidRDefault="00FB66EE" w:rsidP="002B7E8B">
            <w:pPr>
              <w:snapToGrid w:val="0"/>
              <w:rPr>
                <w:szCs w:val="21"/>
              </w:rPr>
            </w:pPr>
            <w:r w:rsidRPr="008E2873">
              <w:rPr>
                <w:szCs w:val="21"/>
              </w:rPr>
              <w:fldChar w:fldCharType="begin"/>
            </w:r>
            <w:r w:rsidRPr="008E2873">
              <w:rPr>
                <w:szCs w:val="21"/>
              </w:rPr>
              <w:instrText xml:space="preserve"> = 1 \* GB3 </w:instrText>
            </w:r>
            <w:r w:rsidRPr="008E2873">
              <w:rPr>
                <w:szCs w:val="21"/>
              </w:rPr>
              <w:fldChar w:fldCharType="separate"/>
            </w:r>
            <w:r w:rsidRPr="008E2873">
              <w:rPr>
                <w:rFonts w:ascii="宋体" w:hAnsi="宋体" w:cs="宋体" w:hint="eastAsia"/>
                <w:szCs w:val="21"/>
              </w:rPr>
              <w:t>①</w:t>
            </w:r>
            <w:r w:rsidRPr="008E2873">
              <w:rPr>
                <w:szCs w:val="21"/>
              </w:rPr>
              <w:fldChar w:fldCharType="end"/>
            </w:r>
            <w:r w:rsidRPr="008E2873">
              <w:rPr>
                <w:szCs w:val="21"/>
              </w:rPr>
              <w:t>生物医药：</w:t>
            </w:r>
          </w:p>
          <w:p w:rsidR="00FB66EE" w:rsidRPr="008E2873" w:rsidRDefault="00FB66EE" w:rsidP="002B7E8B">
            <w:pPr>
              <w:snapToGrid w:val="0"/>
              <w:rPr>
                <w:szCs w:val="21"/>
              </w:rPr>
            </w:pPr>
            <w:r w:rsidRPr="008E2873">
              <w:rPr>
                <w:szCs w:val="21"/>
              </w:rPr>
              <w:t>a.</w:t>
            </w:r>
            <w:r w:rsidRPr="008E2873">
              <w:rPr>
                <w:szCs w:val="21"/>
              </w:rPr>
              <w:t>生物医药：禁止引入化学药品原药制造、发酵类制药项目、有明显异味的项目、基因工程药物和疫苗制造项目。</w:t>
            </w:r>
          </w:p>
          <w:p w:rsidR="00FB66EE" w:rsidRPr="008E2873" w:rsidRDefault="00FB66EE" w:rsidP="002B7E8B">
            <w:pPr>
              <w:snapToGrid w:val="0"/>
              <w:rPr>
                <w:szCs w:val="21"/>
              </w:rPr>
            </w:pPr>
            <w:r w:rsidRPr="008E2873">
              <w:rPr>
                <w:szCs w:val="21"/>
              </w:rPr>
              <w:t xml:space="preserve">b. </w:t>
            </w:r>
            <w:r w:rsidRPr="008E2873">
              <w:rPr>
                <w:szCs w:val="21"/>
              </w:rPr>
              <w:t>高端化妆品：禁止引入含有化学工艺的精细化工、含有化学工艺的日用化工。</w:t>
            </w:r>
          </w:p>
          <w:p w:rsidR="00FB66EE" w:rsidRPr="008E2873" w:rsidRDefault="00FB66EE" w:rsidP="002B7E8B">
            <w:pPr>
              <w:snapToGrid w:val="0"/>
              <w:rPr>
                <w:szCs w:val="21"/>
              </w:rPr>
            </w:pPr>
            <w:r w:rsidRPr="008E2873">
              <w:rPr>
                <w:szCs w:val="21"/>
              </w:rPr>
              <w:t>c.</w:t>
            </w:r>
            <w:r w:rsidRPr="008E2873">
              <w:rPr>
                <w:szCs w:val="21"/>
              </w:rPr>
              <w:t>高原保健品：禁止引入涉及发酵工艺的项目，废水产生量大且难处理的项目，有明显异味的项目。</w:t>
            </w:r>
          </w:p>
          <w:p w:rsidR="00FB66EE" w:rsidRPr="008E2873" w:rsidRDefault="00FB66EE" w:rsidP="002B7E8B">
            <w:pPr>
              <w:snapToGrid w:val="0"/>
              <w:rPr>
                <w:b/>
              </w:rPr>
            </w:pPr>
            <w:r w:rsidRPr="008E2873">
              <w:rPr>
                <w:szCs w:val="21"/>
              </w:rPr>
              <w:lastRenderedPageBreak/>
              <w:fldChar w:fldCharType="begin"/>
            </w:r>
            <w:r w:rsidRPr="008E2873">
              <w:rPr>
                <w:szCs w:val="21"/>
              </w:rPr>
              <w:instrText xml:space="preserve"> = 2 \* GB3 </w:instrText>
            </w:r>
            <w:r w:rsidRPr="008E2873">
              <w:rPr>
                <w:szCs w:val="21"/>
              </w:rPr>
              <w:fldChar w:fldCharType="separate"/>
            </w:r>
            <w:r w:rsidRPr="008E2873">
              <w:rPr>
                <w:rFonts w:ascii="宋体" w:hAnsi="宋体" w:cs="宋体" w:hint="eastAsia"/>
                <w:szCs w:val="21"/>
              </w:rPr>
              <w:t>②</w:t>
            </w:r>
            <w:r w:rsidRPr="008E2873">
              <w:rPr>
                <w:szCs w:val="21"/>
              </w:rPr>
              <w:fldChar w:fldCharType="end"/>
            </w:r>
            <w:r w:rsidRPr="008E2873">
              <w:rPr>
                <w:szCs w:val="21"/>
              </w:rPr>
              <w:t>清洁能源、生态旅游：禁止引入生产性污染企业。</w:t>
            </w:r>
          </w:p>
        </w:tc>
      </w:tr>
      <w:tr w:rsidR="008E2873" w:rsidRPr="008E2873" w:rsidTr="002B7E8B">
        <w:trPr>
          <w:trHeight w:val="340"/>
          <w:jc w:val="center"/>
        </w:trPr>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lastRenderedPageBreak/>
              <w:t>2</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规划目标</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环境保护目标</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环境保护目标及其相应指标</w:t>
            </w:r>
          </w:p>
        </w:tc>
        <w:tc>
          <w:tcPr>
            <w:tcW w:w="0" w:type="auto"/>
            <w:vAlign w:val="center"/>
          </w:tcPr>
          <w:p w:rsidR="00FB66EE" w:rsidRPr="008E2873" w:rsidRDefault="00FB66EE" w:rsidP="002B7E8B">
            <w:pPr>
              <w:snapToGrid w:val="0"/>
              <w:rPr>
                <w:szCs w:val="21"/>
              </w:rPr>
            </w:pPr>
            <w:r w:rsidRPr="008E2873">
              <w:rPr>
                <w:szCs w:val="21"/>
              </w:rPr>
              <w:t>提出规划区的环保目标及指标：废水处理率达</w:t>
            </w:r>
            <w:r w:rsidRPr="008E2873">
              <w:rPr>
                <w:szCs w:val="21"/>
              </w:rPr>
              <w:t>100%</w:t>
            </w:r>
            <w:r w:rsidRPr="008E2873">
              <w:rPr>
                <w:szCs w:val="21"/>
              </w:rPr>
              <w:t>；废气治理率达</w:t>
            </w:r>
            <w:r w:rsidRPr="008E2873">
              <w:rPr>
                <w:szCs w:val="21"/>
              </w:rPr>
              <w:t>100%</w:t>
            </w:r>
            <w:r w:rsidRPr="008E2873">
              <w:rPr>
                <w:szCs w:val="21"/>
              </w:rPr>
              <w:t>；工业固体废弃物综合利用率</w:t>
            </w:r>
            <w:r w:rsidRPr="008E2873">
              <w:rPr>
                <w:szCs w:val="21"/>
              </w:rPr>
              <w:t>90%</w:t>
            </w:r>
            <w:r w:rsidRPr="008E2873">
              <w:rPr>
                <w:szCs w:val="21"/>
              </w:rPr>
              <w:t>以上；生活垃圾无害化处理率达</w:t>
            </w:r>
            <w:r w:rsidRPr="008E2873">
              <w:rPr>
                <w:szCs w:val="21"/>
              </w:rPr>
              <w:t>100%</w:t>
            </w:r>
            <w:r w:rsidRPr="008E2873">
              <w:rPr>
                <w:szCs w:val="21"/>
              </w:rPr>
              <w:t>。</w:t>
            </w:r>
          </w:p>
        </w:tc>
      </w:tr>
      <w:tr w:rsidR="008E2873" w:rsidRPr="008E2873" w:rsidTr="002B7E8B">
        <w:trPr>
          <w:trHeight w:val="340"/>
          <w:jc w:val="center"/>
        </w:trPr>
        <w:tc>
          <w:tcPr>
            <w:tcW w:w="0" w:type="auto"/>
            <w:vMerge w:val="restart"/>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hint="eastAsia"/>
                <w:sz w:val="21"/>
                <w:szCs w:val="21"/>
              </w:rPr>
              <w:t>3</w:t>
            </w:r>
          </w:p>
        </w:tc>
        <w:tc>
          <w:tcPr>
            <w:tcW w:w="0" w:type="auto"/>
            <w:vMerge w:val="restart"/>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布局</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对林芝市中心城区、东如片区等外环境的影响</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未做考虑</w:t>
            </w:r>
          </w:p>
        </w:tc>
        <w:tc>
          <w:tcPr>
            <w:tcW w:w="0" w:type="auto"/>
            <w:vAlign w:val="center"/>
          </w:tcPr>
          <w:p w:rsidR="00FB66EE" w:rsidRPr="008E2873" w:rsidRDefault="00FB66EE" w:rsidP="002B7E8B">
            <w:pPr>
              <w:snapToGrid w:val="0"/>
              <w:rPr>
                <w:szCs w:val="21"/>
              </w:rPr>
            </w:pPr>
            <w:r w:rsidRPr="008E2873">
              <w:rPr>
                <w:szCs w:val="21"/>
              </w:rPr>
              <w:fldChar w:fldCharType="begin"/>
            </w:r>
            <w:r w:rsidRPr="008E2873">
              <w:rPr>
                <w:szCs w:val="21"/>
              </w:rPr>
              <w:instrText xml:space="preserve"> = 1 \* GB3 </w:instrText>
            </w:r>
            <w:r w:rsidRPr="008E2873">
              <w:rPr>
                <w:szCs w:val="21"/>
              </w:rPr>
              <w:fldChar w:fldCharType="separate"/>
            </w:r>
            <w:r w:rsidRPr="008E2873">
              <w:rPr>
                <w:rFonts w:ascii="宋体" w:hAnsi="宋体" w:cs="宋体" w:hint="eastAsia"/>
                <w:szCs w:val="21"/>
              </w:rPr>
              <w:t>①</w:t>
            </w:r>
            <w:r w:rsidRPr="008E2873">
              <w:rPr>
                <w:szCs w:val="21"/>
              </w:rPr>
              <w:fldChar w:fldCharType="end"/>
            </w:r>
            <w:r w:rsidRPr="008E2873">
              <w:rPr>
                <w:szCs w:val="21"/>
              </w:rPr>
              <w:t>规划环评针对永久片区规划的一类工业用地提出调整建议：将产业布局规划进行调整，永久片区规划的生物科技产业园调整为现代服务产业园（见附图</w:t>
            </w:r>
            <w:r w:rsidRPr="008E2873">
              <w:rPr>
                <w:szCs w:val="21"/>
              </w:rPr>
              <w:t>8</w:t>
            </w:r>
            <w:r w:rsidRPr="008E2873">
              <w:rPr>
                <w:szCs w:val="21"/>
              </w:rPr>
              <w:t>），未来引入与生态旅游配套的民族手工业（即根据《城市用地分类与规划建设用地标准》</w:t>
            </w:r>
            <w:r w:rsidRPr="008E2873">
              <w:rPr>
                <w:szCs w:val="21"/>
              </w:rPr>
              <w:t>GB50137-2011</w:t>
            </w:r>
            <w:r w:rsidRPr="008E2873">
              <w:rPr>
                <w:szCs w:val="21"/>
              </w:rPr>
              <w:t>中一类工业用地可以引入的项目，包括：缝纫、工艺品制作、农产品加工等对居住和公共环境基本无干扰、污染和安全隐患的工业项目）。</w:t>
            </w:r>
          </w:p>
          <w:p w:rsidR="00FB66EE" w:rsidRPr="008E2873" w:rsidRDefault="00FB66EE" w:rsidP="002B7E8B">
            <w:pPr>
              <w:snapToGrid w:val="0"/>
              <w:rPr>
                <w:szCs w:val="21"/>
              </w:rPr>
            </w:pPr>
            <w:r w:rsidRPr="008E2873">
              <w:rPr>
                <w:szCs w:val="21"/>
              </w:rPr>
              <w:fldChar w:fldCharType="begin"/>
            </w:r>
            <w:r w:rsidRPr="008E2873">
              <w:rPr>
                <w:szCs w:val="21"/>
              </w:rPr>
              <w:instrText xml:space="preserve"> = 2 \* GB3 </w:instrText>
            </w:r>
            <w:r w:rsidRPr="008E2873">
              <w:rPr>
                <w:szCs w:val="21"/>
              </w:rPr>
              <w:fldChar w:fldCharType="separate"/>
            </w:r>
            <w:r w:rsidRPr="008E2873">
              <w:rPr>
                <w:rFonts w:ascii="宋体" w:hAnsi="宋体" w:cs="宋体" w:hint="eastAsia"/>
                <w:szCs w:val="21"/>
              </w:rPr>
              <w:t>②</w:t>
            </w:r>
            <w:r w:rsidRPr="008E2873">
              <w:rPr>
                <w:szCs w:val="21"/>
              </w:rPr>
              <w:fldChar w:fldCharType="end"/>
            </w:r>
            <w:r w:rsidRPr="008E2873">
              <w:rPr>
                <w:szCs w:val="21"/>
              </w:rPr>
              <w:t>规划环评提出建议：在结麦片区周边</w:t>
            </w:r>
            <w:r w:rsidRPr="008E2873">
              <w:rPr>
                <w:szCs w:val="21"/>
              </w:rPr>
              <w:t>200m</w:t>
            </w:r>
            <w:r w:rsidRPr="008E2873">
              <w:rPr>
                <w:szCs w:val="21"/>
              </w:rPr>
              <w:t>范围内不宜规划新建住宅区、学校、医院及其他社会关注点。</w:t>
            </w:r>
          </w:p>
        </w:tc>
      </w:tr>
      <w:tr w:rsidR="008E2873" w:rsidRPr="008E2873" w:rsidTr="002B7E8B">
        <w:trPr>
          <w:trHeight w:val="1574"/>
          <w:jc w:val="center"/>
        </w:trPr>
        <w:tc>
          <w:tcPr>
            <w:tcW w:w="0" w:type="auto"/>
            <w:vMerge/>
            <w:vAlign w:val="center"/>
          </w:tcPr>
          <w:p w:rsidR="00FB66EE" w:rsidRPr="008E2873" w:rsidRDefault="00FB66EE" w:rsidP="002B7E8B">
            <w:pPr>
              <w:pStyle w:val="111"/>
              <w:spacing w:line="240" w:lineRule="auto"/>
              <w:ind w:left="0" w:firstLineChars="0" w:firstLine="0"/>
              <w:jc w:val="center"/>
              <w:rPr>
                <w:rFonts w:cs="Times New Roman"/>
                <w:sz w:val="21"/>
                <w:szCs w:val="21"/>
              </w:rPr>
            </w:pPr>
          </w:p>
        </w:tc>
        <w:tc>
          <w:tcPr>
            <w:tcW w:w="0" w:type="auto"/>
            <w:vMerge/>
            <w:vAlign w:val="center"/>
          </w:tcPr>
          <w:p w:rsidR="00FB66EE" w:rsidRPr="008E2873" w:rsidRDefault="00FB66EE" w:rsidP="002B7E8B">
            <w:pPr>
              <w:pStyle w:val="111"/>
              <w:spacing w:line="240" w:lineRule="auto"/>
              <w:ind w:left="0" w:firstLineChars="0" w:firstLine="0"/>
              <w:jc w:val="center"/>
              <w:rPr>
                <w:rFonts w:cs="Times New Roman"/>
                <w:sz w:val="21"/>
                <w:szCs w:val="21"/>
              </w:rPr>
            </w:pP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对交通干线防护的布局</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沿国道</w:t>
            </w:r>
            <w:r w:rsidRPr="008E2873">
              <w:rPr>
                <w:rFonts w:cs="Times New Roman"/>
                <w:sz w:val="21"/>
                <w:szCs w:val="21"/>
              </w:rPr>
              <w:t>G318</w:t>
            </w:r>
            <w:r w:rsidRPr="008E2873">
              <w:rPr>
                <w:rFonts w:cs="Times New Roman"/>
                <w:sz w:val="21"/>
                <w:szCs w:val="21"/>
              </w:rPr>
              <w:t>、</w:t>
            </w:r>
            <w:r w:rsidRPr="008E2873">
              <w:rPr>
                <w:rFonts w:cs="Times New Roman"/>
                <w:sz w:val="21"/>
                <w:szCs w:val="21"/>
              </w:rPr>
              <w:t>S306</w:t>
            </w:r>
            <w:r w:rsidRPr="008E2873">
              <w:rPr>
                <w:rFonts w:cs="Times New Roman"/>
                <w:sz w:val="21"/>
                <w:szCs w:val="21"/>
              </w:rPr>
              <w:t>以及沿机场快速路布置防护绿化带</w:t>
            </w:r>
          </w:p>
        </w:tc>
        <w:tc>
          <w:tcPr>
            <w:tcW w:w="0" w:type="auto"/>
            <w:vAlign w:val="center"/>
          </w:tcPr>
          <w:p w:rsidR="00FB66EE" w:rsidRPr="008E2873" w:rsidRDefault="00FB66EE" w:rsidP="002B7E8B">
            <w:pPr>
              <w:pStyle w:val="-0"/>
              <w:tabs>
                <w:tab w:val="center" w:pos="4548"/>
              </w:tabs>
              <w:spacing w:line="240" w:lineRule="auto"/>
              <w:ind w:firstLineChars="0" w:firstLine="0"/>
              <w:jc w:val="left"/>
              <w:rPr>
                <w:rFonts w:cs="Times New Roman"/>
                <w:sz w:val="21"/>
              </w:rPr>
            </w:pPr>
            <w:r w:rsidRPr="008E2873">
              <w:rPr>
                <w:rFonts w:cs="Times New Roman"/>
                <w:sz w:val="21"/>
              </w:rPr>
              <w:t>防护绿地布局合理，严格按照规划防护绿地来进行建设实施。考虑到避免对交通干线的影响，根据《公路安全保护条例》，环评要求</w:t>
            </w:r>
            <w:r w:rsidRPr="008E2873">
              <w:rPr>
                <w:rFonts w:cs="Times New Roman"/>
                <w:sz w:val="21"/>
              </w:rPr>
              <w:t>G318</w:t>
            </w:r>
            <w:r w:rsidRPr="008E2873">
              <w:rPr>
                <w:rFonts w:cs="Times New Roman"/>
                <w:sz w:val="21"/>
              </w:rPr>
              <w:t>、</w:t>
            </w:r>
            <w:r w:rsidRPr="008E2873">
              <w:rPr>
                <w:rFonts w:cs="Times New Roman"/>
                <w:sz w:val="21"/>
              </w:rPr>
              <w:t>S306</w:t>
            </w:r>
            <w:r w:rsidRPr="008E2873">
              <w:rPr>
                <w:rFonts w:cs="Times New Roman"/>
                <w:sz w:val="21"/>
              </w:rPr>
              <w:t>以及机场快速路用地外缘起向外</w:t>
            </w:r>
            <w:r w:rsidRPr="008E2873">
              <w:rPr>
                <w:rFonts w:cs="Times New Roman"/>
                <w:sz w:val="21"/>
              </w:rPr>
              <w:t>100</w:t>
            </w:r>
            <w:r w:rsidRPr="008E2873">
              <w:rPr>
                <w:rFonts w:cs="Times New Roman"/>
                <w:sz w:val="21"/>
              </w:rPr>
              <w:t>米禁止设立生产、销售易燃、易爆、剧毒、放射性等危险物品的场所、设施。</w:t>
            </w:r>
          </w:p>
        </w:tc>
      </w:tr>
      <w:tr w:rsidR="008E2873" w:rsidRPr="008E2873" w:rsidTr="002B7E8B">
        <w:trPr>
          <w:trHeight w:val="340"/>
          <w:jc w:val="center"/>
        </w:trPr>
        <w:tc>
          <w:tcPr>
            <w:tcW w:w="0" w:type="auto"/>
            <w:vMerge/>
            <w:vAlign w:val="center"/>
          </w:tcPr>
          <w:p w:rsidR="00FB66EE" w:rsidRPr="008E2873" w:rsidRDefault="00FB66EE" w:rsidP="002B7E8B">
            <w:pPr>
              <w:jc w:val="center"/>
              <w:rPr>
                <w:szCs w:val="21"/>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产业布局、用地布局</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生活空间与工业用地布局混杂</w:t>
            </w:r>
          </w:p>
        </w:tc>
        <w:tc>
          <w:tcPr>
            <w:tcW w:w="0" w:type="auto"/>
            <w:vAlign w:val="center"/>
          </w:tcPr>
          <w:p w:rsidR="00FB66EE" w:rsidRPr="008E2873" w:rsidRDefault="00FB66EE" w:rsidP="002B7E8B">
            <w:pPr>
              <w:snapToGrid w:val="0"/>
              <w:rPr>
                <w:szCs w:val="21"/>
              </w:rPr>
            </w:pPr>
            <w:r w:rsidRPr="008E2873">
              <w:rPr>
                <w:szCs w:val="21"/>
              </w:rPr>
              <w:fldChar w:fldCharType="begin"/>
            </w:r>
            <w:r w:rsidRPr="008E2873">
              <w:rPr>
                <w:szCs w:val="21"/>
              </w:rPr>
              <w:instrText xml:space="preserve"> = 1 \* GB3 </w:instrText>
            </w:r>
            <w:r w:rsidRPr="008E2873">
              <w:rPr>
                <w:szCs w:val="21"/>
              </w:rPr>
              <w:fldChar w:fldCharType="separate"/>
            </w:r>
            <w:r w:rsidRPr="008E2873">
              <w:rPr>
                <w:rFonts w:ascii="宋体" w:hAnsi="宋体" w:cs="宋体" w:hint="eastAsia"/>
                <w:szCs w:val="21"/>
              </w:rPr>
              <w:t>①</w:t>
            </w:r>
            <w:r w:rsidRPr="008E2873">
              <w:rPr>
                <w:szCs w:val="21"/>
              </w:rPr>
              <w:fldChar w:fldCharType="end"/>
            </w:r>
            <w:r w:rsidRPr="008E2873">
              <w:rPr>
                <w:szCs w:val="21"/>
              </w:rPr>
              <w:t>将产业布局规划进行调整，永久片区规划的生物科技产业园调整为现代服务产业园，生物科技产业园全部规划在结麦片区；</w:t>
            </w:r>
          </w:p>
          <w:p w:rsidR="00FB66EE" w:rsidRPr="008E2873" w:rsidRDefault="00FB66EE" w:rsidP="002B7E8B">
            <w:pPr>
              <w:snapToGrid w:val="0"/>
              <w:rPr>
                <w:szCs w:val="21"/>
              </w:rPr>
            </w:pPr>
            <w:r w:rsidRPr="008E2873">
              <w:rPr>
                <w:szCs w:val="21"/>
              </w:rPr>
              <w:fldChar w:fldCharType="begin"/>
            </w:r>
            <w:r w:rsidRPr="008E2873">
              <w:rPr>
                <w:szCs w:val="21"/>
              </w:rPr>
              <w:instrText xml:space="preserve"> = 2 \* GB3 </w:instrText>
            </w:r>
            <w:r w:rsidRPr="008E2873">
              <w:rPr>
                <w:szCs w:val="21"/>
              </w:rPr>
              <w:fldChar w:fldCharType="separate"/>
            </w:r>
            <w:r w:rsidRPr="008E2873">
              <w:rPr>
                <w:rFonts w:ascii="宋体" w:hAnsi="宋体" w:cs="宋体" w:hint="eastAsia"/>
                <w:szCs w:val="21"/>
              </w:rPr>
              <w:t>②</w:t>
            </w:r>
            <w:r w:rsidRPr="008E2873">
              <w:rPr>
                <w:szCs w:val="21"/>
              </w:rPr>
              <w:fldChar w:fldCharType="end"/>
            </w:r>
            <w:r w:rsidRPr="008E2873">
              <w:rPr>
                <w:szCs w:val="21"/>
              </w:rPr>
              <w:t>永久片区规划的一类工业用地未来引入与生态旅游配套的民族手工业（即根据《城市用地分类与规划建设用地标准》</w:t>
            </w:r>
            <w:r w:rsidRPr="008E2873">
              <w:rPr>
                <w:szCs w:val="21"/>
              </w:rPr>
              <w:t>GB50137-2011</w:t>
            </w:r>
            <w:r w:rsidRPr="008E2873">
              <w:rPr>
                <w:szCs w:val="21"/>
              </w:rPr>
              <w:t>中一类工业用地可以引入的项目，包括：缝纫、工艺品制作、农产品加工等对居住和公共环境基本无干扰、污染和安全隐患的工业项目）。</w:t>
            </w:r>
          </w:p>
          <w:p w:rsidR="00FB66EE" w:rsidRPr="008E2873" w:rsidRDefault="00FB66EE" w:rsidP="002B7E8B">
            <w:pPr>
              <w:snapToGrid w:val="0"/>
              <w:rPr>
                <w:szCs w:val="21"/>
              </w:rPr>
            </w:pPr>
            <w:r w:rsidRPr="008E2873">
              <w:rPr>
                <w:szCs w:val="21"/>
              </w:rPr>
              <w:fldChar w:fldCharType="begin"/>
            </w:r>
            <w:r w:rsidRPr="008E2873">
              <w:rPr>
                <w:szCs w:val="21"/>
              </w:rPr>
              <w:instrText xml:space="preserve"> </w:instrText>
            </w:r>
            <w:r w:rsidRPr="008E2873">
              <w:rPr>
                <w:rFonts w:hint="eastAsia"/>
                <w:szCs w:val="21"/>
              </w:rPr>
              <w:instrText>= 3 \* GB3</w:instrText>
            </w:r>
            <w:r w:rsidRPr="008E2873">
              <w:rPr>
                <w:szCs w:val="21"/>
              </w:rPr>
              <w:instrText xml:space="preserve"> </w:instrText>
            </w:r>
            <w:r w:rsidRPr="008E2873">
              <w:rPr>
                <w:szCs w:val="21"/>
              </w:rPr>
              <w:fldChar w:fldCharType="separate"/>
            </w:r>
            <w:r w:rsidRPr="008E2873">
              <w:rPr>
                <w:rFonts w:hint="eastAsia"/>
                <w:noProof/>
                <w:szCs w:val="21"/>
              </w:rPr>
              <w:t>③</w:t>
            </w:r>
            <w:r w:rsidRPr="008E2873">
              <w:rPr>
                <w:szCs w:val="21"/>
              </w:rPr>
              <w:fldChar w:fldCharType="end"/>
            </w:r>
            <w:r w:rsidRPr="008E2873">
              <w:rPr>
                <w:rFonts w:hint="eastAsia"/>
                <w:szCs w:val="21"/>
              </w:rPr>
              <w:t>永久片区科技综合产业发展</w:t>
            </w:r>
            <w:r w:rsidRPr="008E2873">
              <w:rPr>
                <w:rFonts w:hint="eastAsia"/>
                <w:szCs w:val="21"/>
              </w:rPr>
              <w:lastRenderedPageBreak/>
              <w:t>用地未开发部分未来引入的项目需考虑与北侧规划的居住用地相容性，引入对规划居住用地基本无干扰、污染和安全隐患的项目。</w:t>
            </w:r>
          </w:p>
        </w:tc>
      </w:tr>
      <w:tr w:rsidR="008E2873" w:rsidRPr="008E2873" w:rsidTr="002B7E8B">
        <w:trPr>
          <w:trHeight w:val="340"/>
          <w:jc w:val="center"/>
        </w:trPr>
        <w:tc>
          <w:tcPr>
            <w:tcW w:w="0" w:type="auto"/>
            <w:vAlign w:val="center"/>
          </w:tcPr>
          <w:p w:rsidR="00FB66EE" w:rsidRPr="008E2873" w:rsidRDefault="00FB66EE" w:rsidP="002B7E8B">
            <w:pPr>
              <w:jc w:val="center"/>
              <w:rPr>
                <w:szCs w:val="21"/>
              </w:rPr>
            </w:pPr>
            <w:r w:rsidRPr="008E2873">
              <w:rPr>
                <w:rFonts w:hint="eastAsia"/>
                <w:szCs w:val="21"/>
              </w:rPr>
              <w:lastRenderedPageBreak/>
              <w:t>4</w:t>
            </w:r>
          </w:p>
        </w:tc>
        <w:tc>
          <w:tcPr>
            <w:tcW w:w="0" w:type="auto"/>
            <w:gridSpan w:val="2"/>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hint="eastAsia"/>
                <w:sz w:val="21"/>
                <w:szCs w:val="21"/>
              </w:rPr>
              <w:t>防洪、防涝</w:t>
            </w:r>
          </w:p>
        </w:tc>
        <w:tc>
          <w:tcPr>
            <w:tcW w:w="0" w:type="auto"/>
            <w:vAlign w:val="center"/>
          </w:tcPr>
          <w:p w:rsidR="00FB66EE" w:rsidRPr="008E2873" w:rsidRDefault="00FB66EE" w:rsidP="002B7E8B">
            <w:pPr>
              <w:pStyle w:val="111"/>
              <w:spacing w:line="240" w:lineRule="auto"/>
              <w:ind w:left="0" w:firstLineChars="0" w:firstLine="0"/>
              <w:jc w:val="left"/>
              <w:rPr>
                <w:rFonts w:cs="Times New Roman"/>
                <w:sz w:val="21"/>
                <w:szCs w:val="21"/>
              </w:rPr>
            </w:pPr>
            <w:r w:rsidRPr="008E2873">
              <w:rPr>
                <w:rFonts w:cs="Times New Roman" w:hint="eastAsia"/>
                <w:sz w:val="21"/>
                <w:szCs w:val="21"/>
              </w:rPr>
              <w:t>①防洪规划：尼洋河河道防洪标准</w:t>
            </w:r>
            <w:r w:rsidRPr="008E2873">
              <w:rPr>
                <w:rFonts w:cs="Times New Roman" w:hint="eastAsia"/>
                <w:sz w:val="21"/>
                <w:szCs w:val="21"/>
              </w:rPr>
              <w:t>50</w:t>
            </w:r>
            <w:r w:rsidRPr="008E2873">
              <w:rPr>
                <w:rFonts w:cs="Times New Roman" w:hint="eastAsia"/>
                <w:sz w:val="21"/>
                <w:szCs w:val="21"/>
              </w:rPr>
              <w:t>年一遇，满足水利部门确定的河道宽度要求。流经规划区的两条山洪河道（永清河、银久弄巴河），原本无固定河道，河势不稳定，洪水时易发生改道。根据规划，为保障银久弄巴河行洪断面，规划确定河道宽度为</w:t>
            </w:r>
            <w:r w:rsidRPr="008E2873">
              <w:rPr>
                <w:rFonts w:cs="Times New Roman" w:hint="eastAsia"/>
                <w:sz w:val="21"/>
                <w:szCs w:val="21"/>
              </w:rPr>
              <w:t>50</w:t>
            </w:r>
            <w:r w:rsidRPr="008E2873">
              <w:rPr>
                <w:rFonts w:cs="Times New Roman" w:hint="eastAsia"/>
                <w:sz w:val="21"/>
                <w:szCs w:val="21"/>
              </w:rPr>
              <w:t>米，两岸分别预留</w:t>
            </w:r>
            <w:r w:rsidRPr="008E2873">
              <w:rPr>
                <w:rFonts w:cs="Times New Roman" w:hint="eastAsia"/>
                <w:sz w:val="21"/>
                <w:szCs w:val="21"/>
              </w:rPr>
              <w:t>20</w:t>
            </w:r>
            <w:r w:rsidRPr="008E2873">
              <w:rPr>
                <w:rFonts w:cs="Times New Roman" w:hint="eastAsia"/>
                <w:sz w:val="21"/>
                <w:szCs w:val="21"/>
              </w:rPr>
              <w:t>米和</w:t>
            </w:r>
            <w:r w:rsidRPr="008E2873">
              <w:rPr>
                <w:rFonts w:cs="Times New Roman" w:hint="eastAsia"/>
                <w:sz w:val="21"/>
                <w:szCs w:val="21"/>
              </w:rPr>
              <w:t>50</w:t>
            </w:r>
            <w:r w:rsidRPr="008E2873">
              <w:rPr>
                <w:rFonts w:cs="Times New Roman" w:hint="eastAsia"/>
                <w:sz w:val="21"/>
                <w:szCs w:val="21"/>
              </w:rPr>
              <w:t>米的防护绿带，防洪标准按照</w:t>
            </w:r>
            <w:r w:rsidRPr="008E2873">
              <w:rPr>
                <w:rFonts w:cs="Times New Roman" w:hint="eastAsia"/>
                <w:sz w:val="21"/>
                <w:szCs w:val="21"/>
              </w:rPr>
              <w:t>50</w:t>
            </w:r>
            <w:r w:rsidRPr="008E2873">
              <w:rPr>
                <w:rFonts w:cs="Times New Roman" w:hint="eastAsia"/>
                <w:sz w:val="21"/>
                <w:szCs w:val="21"/>
              </w:rPr>
              <w:t>年一遇设计。永清河，控制刚性河道宽度</w:t>
            </w:r>
            <w:r w:rsidRPr="008E2873">
              <w:rPr>
                <w:rFonts w:cs="Times New Roman" w:hint="eastAsia"/>
                <w:sz w:val="21"/>
                <w:szCs w:val="21"/>
              </w:rPr>
              <w:t>20</w:t>
            </w:r>
            <w:r w:rsidRPr="008E2873">
              <w:rPr>
                <w:rFonts w:cs="Times New Roman" w:hint="eastAsia"/>
                <w:sz w:val="21"/>
                <w:szCs w:val="21"/>
              </w:rPr>
              <w:t>米，两岸各预留绿地</w:t>
            </w:r>
            <w:r w:rsidRPr="008E2873">
              <w:rPr>
                <w:rFonts w:cs="Times New Roman" w:hint="eastAsia"/>
                <w:sz w:val="21"/>
                <w:szCs w:val="21"/>
              </w:rPr>
              <w:t>20</w:t>
            </w:r>
            <w:r w:rsidRPr="008E2873">
              <w:rPr>
                <w:rFonts w:cs="Times New Roman" w:hint="eastAsia"/>
                <w:sz w:val="21"/>
                <w:szCs w:val="21"/>
              </w:rPr>
              <w:t>米，防洪标准按照</w:t>
            </w:r>
            <w:r w:rsidRPr="008E2873">
              <w:rPr>
                <w:rFonts w:cs="Times New Roman" w:hint="eastAsia"/>
                <w:sz w:val="21"/>
                <w:szCs w:val="21"/>
              </w:rPr>
              <w:t>20</w:t>
            </w:r>
            <w:r w:rsidRPr="008E2873">
              <w:rPr>
                <w:rFonts w:cs="Times New Roman" w:hint="eastAsia"/>
                <w:sz w:val="21"/>
                <w:szCs w:val="21"/>
              </w:rPr>
              <w:t>年一遇设计。</w:t>
            </w:r>
          </w:p>
          <w:p w:rsidR="00FB66EE" w:rsidRPr="008E2873" w:rsidRDefault="00FB66EE" w:rsidP="002B7E8B">
            <w:pPr>
              <w:pStyle w:val="111"/>
              <w:spacing w:line="240" w:lineRule="auto"/>
              <w:ind w:left="0" w:firstLineChars="0" w:firstLine="0"/>
              <w:jc w:val="left"/>
              <w:rPr>
                <w:rFonts w:cs="Times New Roman"/>
                <w:sz w:val="21"/>
                <w:szCs w:val="21"/>
              </w:rPr>
            </w:pPr>
            <w:r w:rsidRPr="008E2873">
              <w:rPr>
                <w:rFonts w:cs="Times New Roman" w:hint="eastAsia"/>
                <w:sz w:val="21"/>
                <w:szCs w:val="21"/>
              </w:rPr>
              <w:t>②排涝规划：一是通过沿河堤身加高培厚、堤后填塘固基、河沟疏浚、护岸护坡等措施提高河流水系的防洪和泄洪能力。二是通过疏通水系、排涝站改（扩）建等措施提高排涝能力。</w:t>
            </w:r>
          </w:p>
        </w:tc>
        <w:tc>
          <w:tcPr>
            <w:tcW w:w="0" w:type="auto"/>
            <w:vAlign w:val="center"/>
          </w:tcPr>
          <w:p w:rsidR="00FB66EE" w:rsidRPr="008E2873" w:rsidRDefault="00FB66EE" w:rsidP="002B7E8B">
            <w:pPr>
              <w:snapToGrid w:val="0"/>
              <w:rPr>
                <w:szCs w:val="21"/>
              </w:rPr>
            </w:pPr>
            <w:r w:rsidRPr="008E2873">
              <w:rPr>
                <w:rFonts w:hint="eastAsia"/>
                <w:szCs w:val="21"/>
              </w:rPr>
              <w:t>①目前尼洋河已建设部分防洪堤，规划环评要求尽快实施整个规划东侧的防洪堤建设，以满足规划区防尼洋河洪水的需求；</w:t>
            </w:r>
          </w:p>
          <w:p w:rsidR="00FB66EE" w:rsidRPr="008E2873" w:rsidRDefault="00FB66EE" w:rsidP="002B7E8B">
            <w:pPr>
              <w:snapToGrid w:val="0"/>
              <w:rPr>
                <w:szCs w:val="21"/>
              </w:rPr>
            </w:pPr>
            <w:r w:rsidRPr="008E2873">
              <w:rPr>
                <w:rFonts w:hint="eastAsia"/>
                <w:szCs w:val="21"/>
              </w:rPr>
              <w:t>②在规划实施初期按防洪规范要求对两条山洪河道进行设计和整修；</w:t>
            </w:r>
          </w:p>
          <w:p w:rsidR="00FB66EE" w:rsidRPr="008E2873" w:rsidRDefault="00FB66EE" w:rsidP="002B7E8B">
            <w:pPr>
              <w:snapToGrid w:val="0"/>
              <w:rPr>
                <w:szCs w:val="21"/>
              </w:rPr>
            </w:pPr>
            <w:r w:rsidRPr="008E2873">
              <w:rPr>
                <w:rFonts w:hint="eastAsia"/>
                <w:szCs w:val="21"/>
              </w:rPr>
              <w:t>③结合《林芝市中心城区海绵城市专项规划（</w:t>
            </w:r>
            <w:r w:rsidRPr="008E2873">
              <w:rPr>
                <w:rFonts w:hint="eastAsia"/>
                <w:szCs w:val="21"/>
              </w:rPr>
              <w:t>2017-2030</w:t>
            </w:r>
            <w:r w:rsidRPr="008E2873">
              <w:rPr>
                <w:rFonts w:hint="eastAsia"/>
                <w:szCs w:val="21"/>
              </w:rPr>
              <w:t>年）》，进一步对规划区内易涝区域采取各项措施予以治理。</w:t>
            </w:r>
          </w:p>
          <w:p w:rsidR="00FB66EE" w:rsidRPr="008E2873" w:rsidRDefault="00FB66EE" w:rsidP="002B7E8B">
            <w:pPr>
              <w:snapToGrid w:val="0"/>
              <w:rPr>
                <w:szCs w:val="21"/>
              </w:rPr>
            </w:pPr>
            <w:r w:rsidRPr="008E2873">
              <w:rPr>
                <w:rFonts w:hint="eastAsia"/>
                <w:szCs w:val="21"/>
              </w:rPr>
              <w:t>④经开区管委会需制定防洪、防涝应急预案，避免尼洋河洪水、山洪、内涝引发经开区内企业物料等逸散，从而对地表水、地下水、土壤环境造成影响。</w:t>
            </w:r>
          </w:p>
        </w:tc>
      </w:tr>
      <w:tr w:rsidR="008E2873" w:rsidRPr="008E2873" w:rsidTr="002B7E8B">
        <w:trPr>
          <w:trHeight w:val="340"/>
          <w:jc w:val="center"/>
        </w:trPr>
        <w:tc>
          <w:tcPr>
            <w:tcW w:w="0" w:type="auto"/>
            <w:vMerge w:val="restart"/>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5</w:t>
            </w:r>
          </w:p>
        </w:tc>
        <w:tc>
          <w:tcPr>
            <w:tcW w:w="0" w:type="auto"/>
            <w:vMerge w:val="restart"/>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环境保护</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水污染控制</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根据规划，规划区废水排入在建的河西新区污水处理厂进行处理后达到《城镇污水处理厂污染物排放标准》（</w:t>
            </w:r>
            <w:r w:rsidRPr="008E2873">
              <w:rPr>
                <w:rFonts w:cs="Times New Roman"/>
                <w:sz w:val="21"/>
                <w:szCs w:val="21"/>
              </w:rPr>
              <w:t>GB18918-2002</w:t>
            </w:r>
            <w:r w:rsidRPr="008E2873">
              <w:rPr>
                <w:rFonts w:cs="Times New Roman"/>
                <w:sz w:val="21"/>
                <w:szCs w:val="21"/>
              </w:rPr>
              <w:t>）中一级</w:t>
            </w:r>
            <w:r w:rsidRPr="008E2873">
              <w:rPr>
                <w:rFonts w:cs="Times New Roman"/>
                <w:sz w:val="21"/>
                <w:szCs w:val="21"/>
              </w:rPr>
              <w:t>B</w:t>
            </w:r>
            <w:r w:rsidRPr="008E2873">
              <w:rPr>
                <w:rFonts w:cs="Times New Roman"/>
                <w:sz w:val="21"/>
                <w:szCs w:val="21"/>
              </w:rPr>
              <w:t>标准后尾水排入尼洋河。</w:t>
            </w:r>
          </w:p>
        </w:tc>
        <w:tc>
          <w:tcPr>
            <w:tcW w:w="0" w:type="auto"/>
            <w:vAlign w:val="center"/>
          </w:tcPr>
          <w:p w:rsidR="00FB66EE" w:rsidRPr="008E2873" w:rsidRDefault="00FB66EE" w:rsidP="002B7E8B">
            <w:pPr>
              <w:pStyle w:val="111"/>
              <w:spacing w:line="240" w:lineRule="auto"/>
              <w:ind w:left="0" w:firstLineChars="0" w:firstLine="0"/>
              <w:jc w:val="left"/>
              <w:rPr>
                <w:rFonts w:cs="Times New Roman"/>
                <w:sz w:val="21"/>
                <w:szCs w:val="21"/>
              </w:rPr>
            </w:pPr>
            <w:r w:rsidRPr="008E2873">
              <w:rPr>
                <w:rFonts w:cs="Times New Roman"/>
                <w:sz w:val="21"/>
              </w:rPr>
              <w:fldChar w:fldCharType="begin"/>
            </w:r>
            <w:r w:rsidRPr="008E2873">
              <w:rPr>
                <w:rFonts w:cs="Times New Roman"/>
                <w:sz w:val="21"/>
              </w:rPr>
              <w:instrText xml:space="preserve"> = 1 \* GB3 </w:instrText>
            </w:r>
            <w:r w:rsidRPr="008E2873">
              <w:rPr>
                <w:rFonts w:cs="Times New Roman"/>
                <w:sz w:val="21"/>
              </w:rPr>
              <w:fldChar w:fldCharType="separate"/>
            </w:r>
            <w:r w:rsidRPr="008E2873">
              <w:rPr>
                <w:rFonts w:ascii="宋体" w:hAnsi="宋体" w:hint="eastAsia"/>
                <w:sz w:val="21"/>
              </w:rPr>
              <w:t>①</w:t>
            </w:r>
            <w:r w:rsidRPr="008E2873">
              <w:rPr>
                <w:rFonts w:cs="Times New Roman"/>
                <w:sz w:val="21"/>
              </w:rPr>
              <w:fldChar w:fldCharType="end"/>
            </w:r>
            <w:r w:rsidRPr="008E2873">
              <w:rPr>
                <w:rFonts w:cs="Times New Roman" w:hint="eastAsia"/>
                <w:sz w:val="21"/>
                <w:szCs w:val="21"/>
              </w:rPr>
              <w:t>河西污水处理厂处理工艺应在规划的一级强化处理和人工湿地处理工艺之间，增加二级生化处理工艺，形成一级强化</w:t>
            </w:r>
            <w:r w:rsidRPr="008E2873">
              <w:rPr>
                <w:rFonts w:cs="Times New Roman" w:hint="eastAsia"/>
                <w:sz w:val="21"/>
                <w:szCs w:val="21"/>
              </w:rPr>
              <w:t>+</w:t>
            </w:r>
            <w:r w:rsidRPr="008E2873">
              <w:rPr>
                <w:rFonts w:cs="Times New Roman" w:hint="eastAsia"/>
                <w:sz w:val="21"/>
                <w:szCs w:val="21"/>
              </w:rPr>
              <w:t>二级生化</w:t>
            </w:r>
            <w:r w:rsidRPr="008E2873">
              <w:rPr>
                <w:rFonts w:cs="Times New Roman" w:hint="eastAsia"/>
                <w:sz w:val="21"/>
                <w:szCs w:val="21"/>
              </w:rPr>
              <w:t>+</w:t>
            </w:r>
            <w:r w:rsidRPr="008E2873">
              <w:rPr>
                <w:rFonts w:cs="Times New Roman" w:hint="eastAsia"/>
                <w:sz w:val="21"/>
                <w:szCs w:val="21"/>
              </w:rPr>
              <w:t>人工湿地的处理工艺。考虑到林芝市属于高原、寒冷地区，人工湿地的植物选择上需考虑当地气候实际情况，采用耐寒、耐高原的植物。</w:t>
            </w:r>
          </w:p>
          <w:p w:rsidR="00FB66EE" w:rsidRPr="008E2873" w:rsidRDefault="00FB66EE" w:rsidP="002B7E8B">
            <w:pPr>
              <w:pStyle w:val="111"/>
              <w:spacing w:line="240" w:lineRule="auto"/>
              <w:ind w:left="0" w:firstLineChars="0" w:firstLine="0"/>
              <w:jc w:val="left"/>
              <w:rPr>
                <w:rFonts w:cs="Times New Roman"/>
                <w:sz w:val="21"/>
                <w:szCs w:val="21"/>
              </w:rPr>
            </w:pPr>
            <w:r w:rsidRPr="008E2873">
              <w:rPr>
                <w:rFonts w:cs="Times New Roman"/>
                <w:sz w:val="21"/>
                <w:szCs w:val="21"/>
              </w:rPr>
              <w:fldChar w:fldCharType="begin"/>
            </w:r>
            <w:r w:rsidRPr="008E2873">
              <w:rPr>
                <w:rFonts w:cs="Times New Roman"/>
                <w:sz w:val="21"/>
                <w:szCs w:val="21"/>
              </w:rPr>
              <w:instrText xml:space="preserve"> = 2 \* GB3 </w:instrText>
            </w:r>
            <w:r w:rsidRPr="008E2873">
              <w:rPr>
                <w:rFonts w:cs="Times New Roman"/>
                <w:sz w:val="21"/>
                <w:szCs w:val="21"/>
              </w:rPr>
              <w:fldChar w:fldCharType="separate"/>
            </w:r>
            <w:r w:rsidRPr="008E2873">
              <w:rPr>
                <w:rFonts w:ascii="宋体" w:hAnsi="宋体" w:hint="eastAsia"/>
                <w:sz w:val="21"/>
                <w:szCs w:val="21"/>
              </w:rPr>
              <w:t>②</w:t>
            </w:r>
            <w:r w:rsidRPr="008E2873">
              <w:rPr>
                <w:rFonts w:cs="Times New Roman"/>
                <w:sz w:val="21"/>
                <w:szCs w:val="21"/>
              </w:rPr>
              <w:fldChar w:fldCharType="end"/>
            </w:r>
            <w:r w:rsidRPr="008E2873">
              <w:rPr>
                <w:rFonts w:cs="Times New Roman"/>
                <w:sz w:val="21"/>
                <w:szCs w:val="21"/>
              </w:rPr>
              <w:t>在污水处理厂一期建成投运后，根据规划区的发展状况和需求，合理设计二期处理能力，预留部分富余处理能力，以便应对区域经济发展不确定性可能带来的污水的增加。</w:t>
            </w:r>
          </w:p>
          <w:p w:rsidR="00FB66EE" w:rsidRPr="008E2873" w:rsidRDefault="00FB66EE" w:rsidP="002B7E8B">
            <w:pPr>
              <w:rPr>
                <w:szCs w:val="21"/>
              </w:rPr>
            </w:pPr>
            <w:r w:rsidRPr="008E2873">
              <w:fldChar w:fldCharType="begin"/>
            </w:r>
            <w:r w:rsidRPr="008E2873">
              <w:instrText xml:space="preserve"> = 3 \* GB3 </w:instrText>
            </w:r>
            <w:r w:rsidRPr="008E2873">
              <w:fldChar w:fldCharType="separate"/>
            </w:r>
            <w:r w:rsidRPr="008E2873">
              <w:rPr>
                <w:rFonts w:ascii="宋体" w:hAnsi="宋体" w:cs="宋体" w:hint="eastAsia"/>
              </w:rPr>
              <w:t>③</w:t>
            </w:r>
            <w:r w:rsidRPr="008E2873">
              <w:fldChar w:fldCharType="end"/>
            </w:r>
            <w:r w:rsidRPr="008E2873">
              <w:rPr>
                <w:rFonts w:hint="eastAsia"/>
                <w:szCs w:val="21"/>
              </w:rPr>
              <w:t>目前河西新区污水处理厂设</w:t>
            </w:r>
            <w:r w:rsidRPr="008E2873">
              <w:rPr>
                <w:rFonts w:hint="eastAsia"/>
                <w:szCs w:val="21"/>
              </w:rPr>
              <w:lastRenderedPageBreak/>
              <w:t>计进水指标偏低，不仅比拟建的工业园区污水处理厂设计进水指标低，比自治区已建城市生活污水处理厂设计进水指标低，考虑到污水处理厂原设计仅为一级强化加人工湿地的工艺，未采取二级生化处理工艺，设计方可能是基于处理效果有限，提出的设计进水指标要求较高。从实际出发，规划区废水主要为生活污水、生物医药产业废水，规划环评已提出调整建议污水处理厂处理工艺增加二级生化处理工艺，二级生化处理工艺对</w:t>
            </w:r>
            <w:r w:rsidRPr="008E2873">
              <w:rPr>
                <w:rFonts w:hint="eastAsia"/>
                <w:szCs w:val="21"/>
              </w:rPr>
              <w:t>COD</w:t>
            </w:r>
            <w:r w:rsidRPr="008E2873">
              <w:rPr>
                <w:rFonts w:hint="eastAsia"/>
                <w:szCs w:val="21"/>
              </w:rPr>
              <w:t>、</w:t>
            </w:r>
            <w:r w:rsidRPr="008E2873">
              <w:rPr>
                <w:rFonts w:hint="eastAsia"/>
                <w:szCs w:val="21"/>
              </w:rPr>
              <w:t>BOD</w:t>
            </w:r>
            <w:r w:rsidRPr="008E2873">
              <w:rPr>
                <w:szCs w:val="21"/>
                <w:vertAlign w:val="subscript"/>
              </w:rPr>
              <w:t>5</w:t>
            </w:r>
            <w:r w:rsidRPr="008E2873">
              <w:rPr>
                <w:rFonts w:hint="eastAsia"/>
                <w:szCs w:val="21"/>
              </w:rPr>
              <w:t>等处理效果较好，因此考虑设计进水指标可适当放宽。具体放宽多少，需结合具体采取的工艺予以论证。需要说明的是，河西新区污水处理厂需先增加了二级生化处理工艺，再放宽污水处理厂设计进水水质要求。</w:t>
            </w:r>
          </w:p>
        </w:tc>
      </w:tr>
      <w:tr w:rsidR="008E2873" w:rsidRPr="008E2873" w:rsidTr="002B7E8B">
        <w:trPr>
          <w:trHeight w:val="1649"/>
          <w:jc w:val="center"/>
        </w:trPr>
        <w:tc>
          <w:tcPr>
            <w:tcW w:w="0" w:type="auto"/>
            <w:vMerge/>
            <w:vAlign w:val="center"/>
          </w:tcPr>
          <w:p w:rsidR="00FB66EE" w:rsidRPr="008E2873" w:rsidRDefault="00FB66EE" w:rsidP="002B7E8B">
            <w:pPr>
              <w:pStyle w:val="111"/>
              <w:spacing w:line="240" w:lineRule="auto"/>
              <w:ind w:left="0" w:firstLineChars="0" w:firstLine="0"/>
              <w:jc w:val="center"/>
              <w:rPr>
                <w:rFonts w:cs="Times New Roman"/>
                <w:sz w:val="21"/>
                <w:szCs w:val="21"/>
              </w:rPr>
            </w:pPr>
          </w:p>
        </w:tc>
        <w:tc>
          <w:tcPr>
            <w:tcW w:w="0" w:type="auto"/>
            <w:vMerge/>
            <w:vAlign w:val="center"/>
          </w:tcPr>
          <w:p w:rsidR="00FB66EE" w:rsidRPr="008E2873" w:rsidRDefault="00FB66EE" w:rsidP="002B7E8B">
            <w:pPr>
              <w:pStyle w:val="111"/>
              <w:spacing w:line="240" w:lineRule="auto"/>
              <w:ind w:left="0" w:firstLineChars="0" w:firstLine="0"/>
              <w:jc w:val="center"/>
              <w:rPr>
                <w:rFonts w:cs="Times New Roman"/>
                <w:sz w:val="21"/>
                <w:szCs w:val="21"/>
              </w:rPr>
            </w:pP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大气污染防治</w:t>
            </w:r>
          </w:p>
        </w:tc>
        <w:tc>
          <w:tcPr>
            <w:tcW w:w="0" w:type="auto"/>
            <w:vAlign w:val="center"/>
          </w:tcPr>
          <w:p w:rsidR="00FB66EE" w:rsidRPr="008E2873" w:rsidRDefault="00FB66EE" w:rsidP="002B7E8B">
            <w:pPr>
              <w:pStyle w:val="-1"/>
              <w:spacing w:line="240" w:lineRule="auto"/>
              <w:ind w:firstLineChars="0" w:firstLine="0"/>
              <w:jc w:val="center"/>
              <w:rPr>
                <w:rFonts w:cs="Times New Roman"/>
                <w:color w:val="auto"/>
                <w:sz w:val="21"/>
              </w:rPr>
            </w:pPr>
            <w:r w:rsidRPr="008E2873">
              <w:rPr>
                <w:rFonts w:cs="Times New Roman"/>
                <w:color w:val="auto"/>
                <w:sz w:val="21"/>
              </w:rPr>
              <w:t>重点控制二氧化硫、二氧化氮、烟尘和挥发性有机物排放。</w:t>
            </w:r>
          </w:p>
        </w:tc>
        <w:tc>
          <w:tcPr>
            <w:tcW w:w="0" w:type="auto"/>
            <w:vAlign w:val="center"/>
          </w:tcPr>
          <w:p w:rsidR="00FB66EE" w:rsidRPr="008E2873" w:rsidRDefault="00FB66EE" w:rsidP="002B7E8B">
            <w:pPr>
              <w:pStyle w:val="-0"/>
              <w:spacing w:line="240" w:lineRule="auto"/>
              <w:ind w:firstLineChars="0" w:firstLine="0"/>
              <w:jc w:val="left"/>
              <w:rPr>
                <w:rFonts w:cs="Times New Roman"/>
                <w:sz w:val="21"/>
              </w:rPr>
            </w:pPr>
            <w:r w:rsidRPr="008E2873">
              <w:rPr>
                <w:rFonts w:cs="Times New Roman"/>
                <w:sz w:val="21"/>
              </w:rPr>
              <w:fldChar w:fldCharType="begin"/>
            </w:r>
            <w:r w:rsidRPr="008E2873">
              <w:rPr>
                <w:rFonts w:cs="Times New Roman"/>
                <w:sz w:val="21"/>
              </w:rPr>
              <w:instrText xml:space="preserve"> = 1 \* GB3 </w:instrText>
            </w:r>
            <w:r w:rsidRPr="008E2873">
              <w:rPr>
                <w:rFonts w:cs="Times New Roman"/>
                <w:sz w:val="21"/>
              </w:rPr>
              <w:fldChar w:fldCharType="separate"/>
            </w:r>
            <w:r w:rsidRPr="008E2873">
              <w:rPr>
                <w:rFonts w:ascii="宋体" w:hAnsi="宋体" w:cs="宋体" w:hint="eastAsia"/>
                <w:sz w:val="21"/>
              </w:rPr>
              <w:t>①</w:t>
            </w:r>
            <w:r w:rsidRPr="008E2873">
              <w:rPr>
                <w:rFonts w:cs="Times New Roman"/>
                <w:sz w:val="21"/>
              </w:rPr>
              <w:fldChar w:fldCharType="end"/>
            </w:r>
            <w:r w:rsidRPr="008E2873">
              <w:rPr>
                <w:rFonts w:cs="Times New Roman"/>
                <w:sz w:val="21"/>
              </w:rPr>
              <w:t>引入的项目必须配套建设先进的污染治理设施，采取有效措施收集并处理车间产生的无组织废气。消毒尾气、干燥废气、制粒粉尘、酸性气体、反应釜（罐）排气等有组织废气经处理后，污染物排放须满足相应国家和地方排放标准要求；</w:t>
            </w:r>
          </w:p>
          <w:p w:rsidR="00FB66EE" w:rsidRPr="008E2873" w:rsidRDefault="00FB66EE" w:rsidP="002B7E8B">
            <w:pPr>
              <w:pStyle w:val="-0"/>
              <w:spacing w:line="240" w:lineRule="auto"/>
              <w:ind w:firstLineChars="0" w:firstLine="0"/>
              <w:jc w:val="left"/>
              <w:rPr>
                <w:rFonts w:cs="Times New Roman"/>
                <w:sz w:val="21"/>
              </w:rPr>
            </w:pPr>
            <w:r w:rsidRPr="008E2873">
              <w:rPr>
                <w:rFonts w:cs="Times New Roman"/>
                <w:sz w:val="21"/>
              </w:rPr>
              <w:fldChar w:fldCharType="begin"/>
            </w:r>
            <w:r w:rsidRPr="008E2873">
              <w:rPr>
                <w:rFonts w:cs="Times New Roman"/>
                <w:sz w:val="21"/>
              </w:rPr>
              <w:instrText xml:space="preserve"> = 2 \* GB3 </w:instrText>
            </w:r>
            <w:r w:rsidRPr="008E2873">
              <w:rPr>
                <w:rFonts w:cs="Times New Roman"/>
                <w:sz w:val="21"/>
              </w:rPr>
              <w:fldChar w:fldCharType="separate"/>
            </w:r>
            <w:r w:rsidRPr="008E2873">
              <w:rPr>
                <w:rFonts w:ascii="宋体" w:hAnsi="宋体" w:cs="宋体" w:hint="eastAsia"/>
                <w:sz w:val="21"/>
              </w:rPr>
              <w:t>②</w:t>
            </w:r>
            <w:r w:rsidRPr="008E2873">
              <w:rPr>
                <w:rFonts w:cs="Times New Roman"/>
                <w:sz w:val="21"/>
              </w:rPr>
              <w:fldChar w:fldCharType="end"/>
            </w:r>
            <w:r w:rsidRPr="008E2873">
              <w:rPr>
                <w:rFonts w:cs="Times New Roman"/>
                <w:sz w:val="21"/>
              </w:rPr>
              <w:t>环评要求企业原料使用上应尽量选用低毒、无毒、低异味、无异味的原辅料。对于生产过程挥发性有机物排放量较大的项目，应根据国家</w:t>
            </w:r>
            <w:r w:rsidRPr="008E2873">
              <w:rPr>
                <w:rFonts w:cs="Times New Roman"/>
                <w:sz w:val="21"/>
              </w:rPr>
              <w:t>VOCs</w:t>
            </w:r>
            <w:r w:rsidRPr="008E2873">
              <w:rPr>
                <w:rFonts w:cs="Times New Roman"/>
                <w:sz w:val="21"/>
              </w:rPr>
              <w:t>治理技术及管理要求，采取有效措施减少</w:t>
            </w:r>
            <w:r w:rsidRPr="008E2873">
              <w:rPr>
                <w:rFonts w:cs="Times New Roman"/>
                <w:sz w:val="21"/>
              </w:rPr>
              <w:t>VOCs</w:t>
            </w:r>
            <w:r w:rsidRPr="008E2873">
              <w:rPr>
                <w:rFonts w:cs="Times New Roman"/>
                <w:sz w:val="21"/>
              </w:rPr>
              <w:t>排放。</w:t>
            </w:r>
          </w:p>
        </w:tc>
      </w:tr>
      <w:tr w:rsidR="008E2873" w:rsidRPr="008E2873" w:rsidTr="002B7E8B">
        <w:trPr>
          <w:trHeight w:val="340"/>
          <w:jc w:val="center"/>
        </w:trPr>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7</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对比日神山国家森林公</w:t>
            </w:r>
            <w:r w:rsidRPr="008E2873">
              <w:rPr>
                <w:rFonts w:cs="Times New Roman"/>
                <w:sz w:val="21"/>
                <w:szCs w:val="21"/>
              </w:rPr>
              <w:lastRenderedPageBreak/>
              <w:t>园的保护</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lastRenderedPageBreak/>
              <w:t>未做要求</w:t>
            </w:r>
          </w:p>
        </w:tc>
        <w:tc>
          <w:tcPr>
            <w:tcW w:w="0" w:type="auto"/>
            <w:vAlign w:val="center"/>
          </w:tcPr>
          <w:p w:rsidR="00FB66EE" w:rsidRPr="008E2873" w:rsidRDefault="00FB66EE" w:rsidP="002B7E8B">
            <w:pPr>
              <w:pStyle w:val="-1"/>
              <w:spacing w:line="240" w:lineRule="auto"/>
              <w:ind w:firstLineChars="0" w:firstLine="0"/>
              <w:jc w:val="center"/>
              <w:rPr>
                <w:rFonts w:cs="Times New Roman"/>
                <w:color w:val="auto"/>
                <w:sz w:val="21"/>
              </w:rPr>
            </w:pPr>
            <w:r w:rsidRPr="008E2873">
              <w:rPr>
                <w:rFonts w:hint="eastAsia"/>
                <w:color w:val="auto"/>
              </w:rPr>
              <w:t>规划区不涉及</w:t>
            </w:r>
            <w:r w:rsidRPr="008E2873">
              <w:rPr>
                <w:color w:val="auto"/>
              </w:rPr>
              <w:t>比日神山国家森林公园用地</w:t>
            </w:r>
            <w:r w:rsidRPr="008E2873">
              <w:rPr>
                <w:rFonts w:hint="eastAsia"/>
                <w:color w:val="auto"/>
              </w:rPr>
              <w:t>，距离比日神山国家森林公园</w:t>
            </w:r>
            <w:r w:rsidRPr="008E2873">
              <w:rPr>
                <w:rFonts w:hint="eastAsia"/>
                <w:color w:val="auto"/>
              </w:rPr>
              <w:t>5m</w:t>
            </w:r>
          </w:p>
        </w:tc>
        <w:tc>
          <w:tcPr>
            <w:tcW w:w="0" w:type="auto"/>
            <w:vAlign w:val="center"/>
          </w:tcPr>
          <w:p w:rsidR="00FB66EE" w:rsidRPr="008E2873" w:rsidRDefault="00FB66EE" w:rsidP="002B7E8B">
            <w:pPr>
              <w:pStyle w:val="-0"/>
              <w:spacing w:line="240" w:lineRule="auto"/>
              <w:ind w:firstLineChars="0" w:firstLine="0"/>
              <w:jc w:val="left"/>
              <w:rPr>
                <w:rFonts w:cs="Times New Roman"/>
                <w:sz w:val="21"/>
              </w:rPr>
            </w:pPr>
            <w:r w:rsidRPr="008E2873">
              <w:rPr>
                <w:rFonts w:cs="Times New Roman"/>
                <w:sz w:val="21"/>
              </w:rPr>
              <w:fldChar w:fldCharType="begin"/>
            </w:r>
            <w:r w:rsidRPr="008E2873">
              <w:rPr>
                <w:rFonts w:cs="Times New Roman"/>
                <w:sz w:val="21"/>
              </w:rPr>
              <w:instrText xml:space="preserve"> = 1 \* GB3 </w:instrText>
            </w:r>
            <w:r w:rsidRPr="008E2873">
              <w:rPr>
                <w:rFonts w:cs="Times New Roman"/>
                <w:sz w:val="21"/>
              </w:rPr>
              <w:fldChar w:fldCharType="separate"/>
            </w:r>
            <w:r w:rsidRPr="008E2873">
              <w:rPr>
                <w:rFonts w:ascii="宋体" w:hAnsi="宋体" w:cs="宋体" w:hint="eastAsia"/>
                <w:sz w:val="21"/>
              </w:rPr>
              <w:t>①</w:t>
            </w:r>
            <w:r w:rsidRPr="008E2873">
              <w:rPr>
                <w:rFonts w:cs="Times New Roman"/>
                <w:sz w:val="21"/>
              </w:rPr>
              <w:fldChar w:fldCharType="end"/>
            </w:r>
            <w:r w:rsidRPr="008E2873">
              <w:rPr>
                <w:rFonts w:cs="Times New Roman"/>
                <w:sz w:val="21"/>
              </w:rPr>
              <w:t>本次规划环评要求尼洋河滨河景观绿化带，种植与比日神山国家森林公园景色相协调的植物，特别是较为高大的植物，可以不影响人们欣赏景观</w:t>
            </w:r>
            <w:r w:rsidRPr="008E2873">
              <w:rPr>
                <w:rFonts w:cs="Times New Roman"/>
                <w:sz w:val="21"/>
              </w:rPr>
              <w:lastRenderedPageBreak/>
              <w:t>的视觉，也不影响景观周边环境，即不影响城市的景观视廊。通过生态恢复，营造一个自然生态景观地带，对保护视觉景观十分重要。</w:t>
            </w:r>
          </w:p>
          <w:p w:rsidR="00FB66EE" w:rsidRPr="008E2873" w:rsidRDefault="00FB66EE" w:rsidP="002B7E8B">
            <w:pPr>
              <w:pStyle w:val="-0"/>
              <w:spacing w:line="240" w:lineRule="auto"/>
              <w:ind w:firstLineChars="0" w:firstLine="0"/>
              <w:jc w:val="left"/>
              <w:rPr>
                <w:rFonts w:cs="Times New Roman"/>
                <w:sz w:val="21"/>
              </w:rPr>
            </w:pPr>
            <w:r w:rsidRPr="008E2873">
              <w:rPr>
                <w:rFonts w:cs="Times New Roman"/>
                <w:sz w:val="21"/>
              </w:rPr>
              <w:fldChar w:fldCharType="begin"/>
            </w:r>
            <w:r w:rsidRPr="008E2873">
              <w:rPr>
                <w:rFonts w:cs="Times New Roman"/>
                <w:sz w:val="21"/>
              </w:rPr>
              <w:instrText xml:space="preserve"> = 2 \* GB3 </w:instrText>
            </w:r>
            <w:r w:rsidRPr="008E2873">
              <w:rPr>
                <w:rFonts w:cs="Times New Roman"/>
                <w:sz w:val="21"/>
              </w:rPr>
              <w:fldChar w:fldCharType="separate"/>
            </w:r>
            <w:r w:rsidRPr="008E2873">
              <w:rPr>
                <w:rFonts w:ascii="宋体" w:hAnsi="宋体" w:cs="宋体" w:hint="eastAsia"/>
                <w:sz w:val="21"/>
              </w:rPr>
              <w:t>②</w:t>
            </w:r>
            <w:r w:rsidRPr="008E2873">
              <w:rPr>
                <w:rFonts w:cs="Times New Roman"/>
                <w:sz w:val="21"/>
              </w:rPr>
              <w:fldChar w:fldCharType="end"/>
            </w:r>
            <w:r w:rsidRPr="008E2873">
              <w:rPr>
                <w:rFonts w:cs="Times New Roman"/>
                <w:sz w:val="21"/>
              </w:rPr>
              <w:t>环评要求待河西新区污水处理厂建成后，永久片区所有企事业单位以及住户的废水需自行处理达到污水处理厂纳管标准后，进入河西新区污水处理厂处理达标后排入尼洋河，该段尼洋河为比日神山国家森林公园的一般游憩区尼洋河的下游河段，比日神山国家森林公园的一般游憩区的尼洋河段是河西新区污水处理厂排口河段上游约</w:t>
            </w:r>
            <w:r w:rsidRPr="008E2873">
              <w:rPr>
                <w:rFonts w:cs="Times New Roman"/>
                <w:sz w:val="21"/>
              </w:rPr>
              <w:t>2.0km</w:t>
            </w:r>
            <w:r w:rsidRPr="008E2873">
              <w:rPr>
                <w:rFonts w:cs="Times New Roman"/>
                <w:sz w:val="21"/>
              </w:rPr>
              <w:t>，为污水处理厂排口对照断面以上，因此，采用这种排水方式后比日神山国家森林公园的一般游憩区的尼洋河水质不受河西新区污水处理厂排放影响。</w:t>
            </w:r>
          </w:p>
          <w:p w:rsidR="00FB66EE" w:rsidRPr="008E2873" w:rsidRDefault="00FB66EE" w:rsidP="002B7E8B">
            <w:pPr>
              <w:pStyle w:val="-0"/>
              <w:spacing w:line="240" w:lineRule="auto"/>
              <w:ind w:firstLineChars="0" w:firstLine="0"/>
              <w:jc w:val="left"/>
              <w:rPr>
                <w:rFonts w:cs="Times New Roman"/>
                <w:sz w:val="21"/>
              </w:rPr>
            </w:pPr>
            <w:r w:rsidRPr="008E2873">
              <w:rPr>
                <w:rFonts w:cs="Times New Roman"/>
                <w:sz w:val="21"/>
              </w:rPr>
              <w:fldChar w:fldCharType="begin"/>
            </w:r>
            <w:r w:rsidRPr="008E2873">
              <w:rPr>
                <w:rFonts w:cs="Times New Roman"/>
                <w:sz w:val="21"/>
              </w:rPr>
              <w:instrText xml:space="preserve"> = 3 \* GB3 </w:instrText>
            </w:r>
            <w:r w:rsidRPr="008E2873">
              <w:rPr>
                <w:rFonts w:cs="Times New Roman"/>
                <w:sz w:val="21"/>
              </w:rPr>
              <w:fldChar w:fldCharType="separate"/>
            </w:r>
            <w:r w:rsidRPr="008E2873">
              <w:rPr>
                <w:rFonts w:ascii="宋体" w:hAnsi="宋体" w:cs="宋体" w:hint="eastAsia"/>
                <w:sz w:val="21"/>
              </w:rPr>
              <w:t>③</w:t>
            </w:r>
            <w:r w:rsidRPr="008E2873">
              <w:rPr>
                <w:rFonts w:cs="Times New Roman"/>
                <w:sz w:val="21"/>
              </w:rPr>
              <w:fldChar w:fldCharType="end"/>
            </w:r>
            <w:r w:rsidRPr="008E2873">
              <w:rPr>
                <w:rFonts w:cs="Times New Roman"/>
                <w:sz w:val="21"/>
              </w:rPr>
              <w:t xml:space="preserve"> </w:t>
            </w:r>
            <w:r w:rsidRPr="008E2873">
              <w:rPr>
                <w:rFonts w:cs="Times New Roman"/>
                <w:sz w:val="21"/>
              </w:rPr>
              <w:t>禁止引入产生含氟废气的企业。</w:t>
            </w:r>
          </w:p>
        </w:tc>
      </w:tr>
      <w:tr w:rsidR="008E2873" w:rsidRPr="008E2873" w:rsidTr="002B7E8B">
        <w:trPr>
          <w:trHeight w:val="340"/>
          <w:jc w:val="center"/>
        </w:trPr>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lastRenderedPageBreak/>
              <w:t>8</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对经开区成立前已入驻的现有企业的要求</w:t>
            </w:r>
          </w:p>
        </w:tc>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未做要求</w:t>
            </w:r>
          </w:p>
        </w:tc>
        <w:tc>
          <w:tcPr>
            <w:tcW w:w="0" w:type="auto"/>
            <w:vAlign w:val="center"/>
          </w:tcPr>
          <w:p w:rsidR="00FB66EE" w:rsidRPr="008E2873" w:rsidRDefault="00FB66EE" w:rsidP="002B7E8B">
            <w:pPr>
              <w:pStyle w:val="-1"/>
              <w:spacing w:line="240" w:lineRule="auto"/>
              <w:ind w:firstLineChars="0" w:firstLine="0"/>
              <w:jc w:val="center"/>
              <w:rPr>
                <w:rFonts w:cs="Times New Roman"/>
                <w:color w:val="auto"/>
                <w:sz w:val="21"/>
              </w:rPr>
            </w:pPr>
            <w:r w:rsidRPr="008E2873">
              <w:rPr>
                <w:rFonts w:cs="Times New Roman"/>
                <w:color w:val="auto"/>
                <w:sz w:val="21"/>
              </w:rPr>
              <w:t>未做要求</w:t>
            </w:r>
          </w:p>
        </w:tc>
        <w:tc>
          <w:tcPr>
            <w:tcW w:w="0" w:type="auto"/>
            <w:vAlign w:val="center"/>
          </w:tcPr>
          <w:p w:rsidR="00FB66EE" w:rsidRPr="008E2873" w:rsidRDefault="00FB66EE" w:rsidP="002B7E8B">
            <w:pPr>
              <w:pStyle w:val="-0"/>
              <w:spacing w:line="240" w:lineRule="auto"/>
              <w:ind w:firstLineChars="0" w:firstLine="0"/>
              <w:jc w:val="left"/>
              <w:rPr>
                <w:rFonts w:cs="Times New Roman"/>
                <w:sz w:val="21"/>
              </w:rPr>
            </w:pPr>
            <w:r w:rsidRPr="008E2873">
              <w:rPr>
                <w:rFonts w:cs="Times New Roman"/>
                <w:sz w:val="21"/>
              </w:rPr>
              <w:t>永久片区在</w:t>
            </w:r>
            <w:r w:rsidRPr="008E2873">
              <w:rPr>
                <w:rFonts w:cs="Times New Roman"/>
                <w:sz w:val="21"/>
              </w:rPr>
              <w:t>S306</w:t>
            </w:r>
            <w:r w:rsidRPr="008E2873">
              <w:rPr>
                <w:rFonts w:cs="Times New Roman"/>
                <w:sz w:val="21"/>
              </w:rPr>
              <w:t>东侧沿线分布有零散的车辆维修、废品回收等作坊企业，现状作坊企业主要有东升汽修、汉强汽修、林芝金路通车业有限公司、林海木业包装公司、辉煌石业有限公司、多联塑胶厂、联成汽修厂等。该类企业未进行相应的环评手续，且与本次土地利用及规划主导产业不相符，因此要求在三年之内搬迁出园区；</w:t>
            </w:r>
          </w:p>
        </w:tc>
      </w:tr>
      <w:tr w:rsidR="008E2873" w:rsidRPr="008E2873" w:rsidTr="002B7E8B">
        <w:trPr>
          <w:trHeight w:val="340"/>
          <w:jc w:val="center"/>
        </w:trPr>
        <w:tc>
          <w:tcPr>
            <w:tcW w:w="0" w:type="auto"/>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9</w:t>
            </w:r>
          </w:p>
        </w:tc>
        <w:tc>
          <w:tcPr>
            <w:tcW w:w="0" w:type="auto"/>
            <w:gridSpan w:val="2"/>
            <w:vAlign w:val="center"/>
          </w:tcPr>
          <w:p w:rsidR="00FB66EE" w:rsidRPr="008E2873" w:rsidRDefault="00FB66EE" w:rsidP="002B7E8B">
            <w:pPr>
              <w:pStyle w:val="111"/>
              <w:spacing w:line="240" w:lineRule="auto"/>
              <w:ind w:left="0" w:firstLineChars="0" w:firstLine="0"/>
              <w:jc w:val="center"/>
              <w:rPr>
                <w:rFonts w:cs="Times New Roman"/>
                <w:sz w:val="21"/>
                <w:szCs w:val="21"/>
              </w:rPr>
            </w:pPr>
            <w:r w:rsidRPr="008E2873">
              <w:rPr>
                <w:rFonts w:cs="Times New Roman"/>
                <w:sz w:val="21"/>
                <w:szCs w:val="21"/>
              </w:rPr>
              <w:t>工业用地类别</w:t>
            </w:r>
          </w:p>
        </w:tc>
        <w:tc>
          <w:tcPr>
            <w:tcW w:w="0" w:type="auto"/>
            <w:vAlign w:val="center"/>
          </w:tcPr>
          <w:p w:rsidR="00FB66EE" w:rsidRPr="008E2873" w:rsidRDefault="00FB66EE" w:rsidP="002B7E8B">
            <w:pPr>
              <w:pStyle w:val="-1"/>
              <w:spacing w:line="240" w:lineRule="auto"/>
              <w:ind w:firstLineChars="0" w:firstLine="0"/>
              <w:jc w:val="center"/>
              <w:rPr>
                <w:rFonts w:cs="Times New Roman"/>
                <w:color w:val="auto"/>
                <w:sz w:val="21"/>
              </w:rPr>
            </w:pPr>
            <w:r w:rsidRPr="008E2873">
              <w:rPr>
                <w:rFonts w:cs="Times New Roman"/>
                <w:color w:val="auto"/>
                <w:sz w:val="21"/>
              </w:rPr>
              <w:t>一类工业用地</w:t>
            </w:r>
          </w:p>
        </w:tc>
        <w:tc>
          <w:tcPr>
            <w:tcW w:w="0" w:type="auto"/>
            <w:vAlign w:val="center"/>
          </w:tcPr>
          <w:p w:rsidR="00FB66EE" w:rsidRPr="008E2873" w:rsidRDefault="00FB66EE" w:rsidP="002B7E8B">
            <w:pPr>
              <w:pStyle w:val="-0"/>
              <w:spacing w:line="240" w:lineRule="auto"/>
              <w:ind w:firstLineChars="0" w:firstLine="0"/>
              <w:jc w:val="left"/>
              <w:rPr>
                <w:rFonts w:cs="Times New Roman"/>
                <w:sz w:val="21"/>
              </w:rPr>
            </w:pPr>
            <w:r w:rsidRPr="008E2873">
              <w:rPr>
                <w:rFonts w:cs="Times New Roman"/>
                <w:sz w:val="21"/>
              </w:rPr>
              <w:t>将结麦片区规划一类工业用地调整成二类工业用地</w:t>
            </w:r>
          </w:p>
        </w:tc>
      </w:tr>
    </w:tbl>
    <w:p w:rsidR="00324C71" w:rsidRPr="008E2873" w:rsidRDefault="00324C71" w:rsidP="001E5649">
      <w:pPr>
        <w:pStyle w:val="1"/>
        <w:spacing w:before="120" w:after="120" w:line="360" w:lineRule="auto"/>
        <w:rPr>
          <w:sz w:val="28"/>
          <w:szCs w:val="28"/>
        </w:rPr>
      </w:pPr>
      <w:r w:rsidRPr="008E2873">
        <w:rPr>
          <w:rFonts w:hint="eastAsia"/>
          <w:sz w:val="28"/>
          <w:szCs w:val="28"/>
        </w:rPr>
        <w:t>七、环境准入负面清单</w:t>
      </w:r>
    </w:p>
    <w:p w:rsidR="00324C71" w:rsidRPr="008E2873" w:rsidRDefault="00324C71" w:rsidP="00324C71">
      <w:pPr>
        <w:spacing w:line="360" w:lineRule="auto"/>
        <w:ind w:firstLine="480"/>
        <w:rPr>
          <w:sz w:val="24"/>
        </w:rPr>
      </w:pPr>
      <w:r w:rsidRPr="008E2873">
        <w:rPr>
          <w:sz w:val="24"/>
        </w:rPr>
        <w:t>本次规划环评环境影响负面清单见表</w:t>
      </w:r>
      <w:r w:rsidRPr="008E2873">
        <w:rPr>
          <w:rFonts w:hint="eastAsia"/>
          <w:sz w:val="24"/>
        </w:rPr>
        <w:t>1-</w:t>
      </w:r>
      <w:r w:rsidRPr="008E2873">
        <w:rPr>
          <w:sz w:val="24"/>
        </w:rPr>
        <w:t>2</w:t>
      </w:r>
      <w:r w:rsidRPr="008E2873">
        <w:rPr>
          <w:sz w:val="24"/>
        </w:rPr>
        <w:t>。</w:t>
      </w:r>
    </w:p>
    <w:p w:rsidR="00324C71" w:rsidRPr="008E2873" w:rsidRDefault="00324C71" w:rsidP="00324C71">
      <w:pPr>
        <w:spacing w:line="360" w:lineRule="auto"/>
        <w:jc w:val="center"/>
        <w:rPr>
          <w:b/>
          <w:sz w:val="24"/>
        </w:rPr>
      </w:pPr>
      <w:bookmarkStart w:id="1" w:name="_Ref422130071"/>
      <w:r w:rsidRPr="008E2873">
        <w:rPr>
          <w:b/>
          <w:sz w:val="24"/>
        </w:rPr>
        <w:lastRenderedPageBreak/>
        <w:t>表</w:t>
      </w:r>
      <w:r w:rsidRPr="008E2873">
        <w:rPr>
          <w:rFonts w:hint="eastAsia"/>
          <w:b/>
          <w:sz w:val="24"/>
        </w:rPr>
        <w:t>1-</w:t>
      </w:r>
      <w:r w:rsidRPr="008E2873">
        <w:rPr>
          <w:b/>
          <w:sz w:val="24"/>
        </w:rPr>
        <w:t xml:space="preserve">2  </w:t>
      </w:r>
      <w:r w:rsidRPr="008E2873">
        <w:rPr>
          <w:b/>
          <w:sz w:val="24"/>
        </w:rPr>
        <w:t>本规划区</w:t>
      </w:r>
      <w:bookmarkEnd w:id="1"/>
      <w:r w:rsidRPr="008E2873">
        <w:rPr>
          <w:b/>
          <w:sz w:val="24"/>
        </w:rPr>
        <w:t>环境准入负面清单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38"/>
        <w:gridCol w:w="668"/>
        <w:gridCol w:w="1121"/>
        <w:gridCol w:w="3819"/>
        <w:gridCol w:w="2030"/>
      </w:tblGrid>
      <w:tr w:rsidR="008E2873" w:rsidRPr="008E2873" w:rsidTr="002B7E8B">
        <w:trPr>
          <w:trHeight w:val="340"/>
        </w:trPr>
        <w:tc>
          <w:tcPr>
            <w:tcW w:w="0" w:type="auto"/>
            <w:vAlign w:val="center"/>
          </w:tcPr>
          <w:p w:rsidR="00FB66EE" w:rsidRPr="008E2873" w:rsidRDefault="00FB66EE" w:rsidP="002B7E8B">
            <w:pPr>
              <w:jc w:val="center"/>
              <w:rPr>
                <w:b/>
                <w:kern w:val="18"/>
                <w:szCs w:val="21"/>
              </w:rPr>
            </w:pPr>
            <w:r w:rsidRPr="008E2873">
              <w:rPr>
                <w:b/>
                <w:kern w:val="18"/>
                <w:szCs w:val="21"/>
              </w:rPr>
              <w:t>主导产业定位</w:t>
            </w:r>
          </w:p>
        </w:tc>
        <w:tc>
          <w:tcPr>
            <w:tcW w:w="0" w:type="auto"/>
            <w:gridSpan w:val="2"/>
            <w:vAlign w:val="center"/>
          </w:tcPr>
          <w:p w:rsidR="00FB66EE" w:rsidRPr="008E2873" w:rsidRDefault="00FB66EE" w:rsidP="002B7E8B">
            <w:pPr>
              <w:jc w:val="center"/>
              <w:rPr>
                <w:b/>
                <w:kern w:val="18"/>
                <w:szCs w:val="21"/>
              </w:rPr>
            </w:pPr>
            <w:r w:rsidRPr="008E2873">
              <w:rPr>
                <w:b/>
                <w:szCs w:val="21"/>
              </w:rPr>
              <w:t>按照《国民经济行业分类》</w:t>
            </w:r>
            <w:r w:rsidRPr="008E2873">
              <w:rPr>
                <w:b/>
                <w:szCs w:val="21"/>
              </w:rPr>
              <w:t>GBT4754-2017</w:t>
            </w:r>
            <w:r w:rsidRPr="008E2873">
              <w:rPr>
                <w:b/>
                <w:kern w:val="18"/>
                <w:szCs w:val="21"/>
              </w:rPr>
              <w:t xml:space="preserve"> </w:t>
            </w:r>
          </w:p>
        </w:tc>
        <w:tc>
          <w:tcPr>
            <w:tcW w:w="0" w:type="auto"/>
            <w:vAlign w:val="center"/>
          </w:tcPr>
          <w:p w:rsidR="00FB66EE" w:rsidRPr="008E2873" w:rsidRDefault="00FB66EE" w:rsidP="002B7E8B">
            <w:pPr>
              <w:jc w:val="center"/>
              <w:rPr>
                <w:b/>
                <w:kern w:val="18"/>
                <w:szCs w:val="21"/>
              </w:rPr>
            </w:pPr>
            <w:r w:rsidRPr="008E2873">
              <w:rPr>
                <w:rFonts w:hint="eastAsia"/>
                <w:b/>
                <w:kern w:val="18"/>
                <w:szCs w:val="21"/>
              </w:rPr>
              <w:t>禁止发展</w:t>
            </w:r>
            <w:r w:rsidRPr="008E2873">
              <w:rPr>
                <w:b/>
                <w:kern w:val="18"/>
                <w:szCs w:val="21"/>
              </w:rPr>
              <w:t>的产业</w:t>
            </w:r>
          </w:p>
        </w:tc>
        <w:tc>
          <w:tcPr>
            <w:tcW w:w="0" w:type="auto"/>
            <w:vAlign w:val="center"/>
          </w:tcPr>
          <w:p w:rsidR="00FB66EE" w:rsidRPr="008E2873" w:rsidRDefault="00FB66EE" w:rsidP="002B7E8B">
            <w:pPr>
              <w:jc w:val="center"/>
              <w:rPr>
                <w:b/>
                <w:kern w:val="18"/>
                <w:szCs w:val="21"/>
              </w:rPr>
            </w:pPr>
            <w:r w:rsidRPr="008E2873">
              <w:rPr>
                <w:rFonts w:hint="eastAsia"/>
                <w:b/>
                <w:kern w:val="18"/>
                <w:szCs w:val="21"/>
              </w:rPr>
              <w:t>管控要求</w:t>
            </w:r>
          </w:p>
        </w:tc>
      </w:tr>
      <w:tr w:rsidR="008E2873" w:rsidRPr="008E2873" w:rsidTr="002B7E8B">
        <w:trPr>
          <w:trHeight w:val="270"/>
        </w:trPr>
        <w:tc>
          <w:tcPr>
            <w:tcW w:w="0" w:type="auto"/>
            <w:vAlign w:val="center"/>
          </w:tcPr>
          <w:p w:rsidR="00FB66EE" w:rsidRPr="008E2873" w:rsidRDefault="00FB66EE" w:rsidP="002B7E8B">
            <w:pPr>
              <w:pStyle w:val="a8"/>
              <w:rPr>
                <w:rFonts w:ascii="Times New Roman" w:hAnsi="Times New Roman"/>
                <w:spacing w:val="8"/>
                <w:kern w:val="18"/>
              </w:rPr>
            </w:pPr>
            <w:r w:rsidRPr="008E2873">
              <w:rPr>
                <w:rFonts w:ascii="Times New Roman" w:hAnsi="Times New Roman"/>
                <w:spacing w:val="8"/>
                <w:kern w:val="18"/>
              </w:rPr>
              <w:t>清洁能源</w:t>
            </w:r>
          </w:p>
        </w:tc>
        <w:tc>
          <w:tcPr>
            <w:tcW w:w="0" w:type="auto"/>
            <w:gridSpan w:val="2"/>
            <w:vAlign w:val="center"/>
          </w:tcPr>
          <w:p w:rsidR="00FB66EE" w:rsidRPr="008E2873" w:rsidRDefault="00FB66EE" w:rsidP="002B7E8B">
            <w:pPr>
              <w:jc w:val="center"/>
              <w:rPr>
                <w:spacing w:val="8"/>
                <w:kern w:val="18"/>
                <w:szCs w:val="21"/>
              </w:rPr>
            </w:pPr>
            <w:r w:rsidRPr="008E2873">
              <w:rPr>
                <w:spacing w:val="8"/>
                <w:kern w:val="18"/>
                <w:szCs w:val="21"/>
              </w:rPr>
              <w:t>/</w:t>
            </w:r>
          </w:p>
        </w:tc>
        <w:tc>
          <w:tcPr>
            <w:tcW w:w="0" w:type="auto"/>
            <w:vMerge w:val="restart"/>
            <w:vAlign w:val="center"/>
          </w:tcPr>
          <w:p w:rsidR="00FB66EE" w:rsidRPr="008E2873" w:rsidRDefault="00FB66EE" w:rsidP="002B7E8B">
            <w:pPr>
              <w:jc w:val="center"/>
              <w:rPr>
                <w:szCs w:val="21"/>
              </w:rPr>
            </w:pPr>
            <w:r w:rsidRPr="008E2873">
              <w:rPr>
                <w:szCs w:val="21"/>
              </w:rPr>
              <w:t>生产性污染企业</w:t>
            </w:r>
          </w:p>
        </w:tc>
        <w:tc>
          <w:tcPr>
            <w:tcW w:w="0" w:type="auto"/>
            <w:vMerge w:val="restart"/>
            <w:vAlign w:val="center"/>
          </w:tcPr>
          <w:p w:rsidR="00FB66EE" w:rsidRPr="008E2873" w:rsidRDefault="00FB66EE" w:rsidP="002B7E8B">
            <w:pPr>
              <w:rPr>
                <w:rFonts w:ascii="Cambria Math" w:hAnsi="Cambria Math" w:cs="Cambria Math"/>
                <w:noProof/>
                <w:szCs w:val="21"/>
              </w:rPr>
            </w:pPr>
            <w:r w:rsidRPr="008E2873">
              <w:rPr>
                <w:rFonts w:ascii="Cambria Math" w:hAnsi="Cambria Math" w:cs="Cambria Math"/>
                <w:noProof/>
                <w:szCs w:val="21"/>
              </w:rPr>
              <w:fldChar w:fldCharType="begin"/>
            </w:r>
            <w:r w:rsidRPr="008E2873">
              <w:rPr>
                <w:rFonts w:ascii="Cambria Math" w:hAnsi="Cambria Math" w:cs="Cambria Math"/>
                <w:noProof/>
                <w:szCs w:val="21"/>
              </w:rPr>
              <w:instrText xml:space="preserve"> </w:instrText>
            </w:r>
            <w:r w:rsidRPr="008E2873">
              <w:rPr>
                <w:rFonts w:ascii="Cambria Math" w:hAnsi="Cambria Math" w:cs="Cambria Math" w:hint="eastAsia"/>
                <w:noProof/>
                <w:szCs w:val="21"/>
              </w:rPr>
              <w:instrText>= 1 \* GB3</w:instrText>
            </w:r>
            <w:r w:rsidRPr="008E2873">
              <w:rPr>
                <w:rFonts w:ascii="Cambria Math" w:hAnsi="Cambria Math" w:cs="Cambria Math"/>
                <w:noProof/>
                <w:szCs w:val="21"/>
              </w:rPr>
              <w:instrText xml:space="preserve"> </w:instrText>
            </w:r>
            <w:r w:rsidRPr="008E2873">
              <w:rPr>
                <w:rFonts w:ascii="Cambria Math" w:hAnsi="Cambria Math" w:cs="Cambria Math"/>
                <w:noProof/>
                <w:szCs w:val="21"/>
              </w:rPr>
              <w:fldChar w:fldCharType="separate"/>
            </w:r>
            <w:r w:rsidRPr="008E2873">
              <w:rPr>
                <w:rFonts w:ascii="Cambria Math" w:hAnsi="Cambria Math" w:cs="Cambria Math" w:hint="eastAsia"/>
                <w:noProof/>
                <w:szCs w:val="21"/>
              </w:rPr>
              <w:t>①</w:t>
            </w:r>
            <w:r w:rsidRPr="008E2873">
              <w:rPr>
                <w:rFonts w:ascii="Cambria Math" w:hAnsi="Cambria Math" w:cs="Cambria Math"/>
                <w:noProof/>
                <w:szCs w:val="21"/>
              </w:rPr>
              <w:fldChar w:fldCharType="end"/>
            </w:r>
            <w:r w:rsidRPr="008E2873">
              <w:rPr>
                <w:rFonts w:ascii="Cambria Math" w:hAnsi="Cambria Math" w:cs="Cambria Math" w:hint="eastAsia"/>
                <w:noProof/>
                <w:szCs w:val="21"/>
              </w:rPr>
              <w:t>入区企业单位</w:t>
            </w:r>
            <w:r w:rsidRPr="008E2873">
              <w:rPr>
                <w:rFonts w:ascii="Cambria Math" w:hAnsi="Cambria Math" w:cs="Cambria Math" w:hint="eastAsia"/>
                <w:noProof/>
                <w:szCs w:val="21"/>
              </w:rPr>
              <w:t>GDP</w:t>
            </w:r>
            <w:r w:rsidRPr="008E2873">
              <w:rPr>
                <w:rFonts w:ascii="Cambria Math" w:hAnsi="Cambria Math" w:cs="Cambria Math" w:hint="eastAsia"/>
                <w:noProof/>
                <w:szCs w:val="21"/>
              </w:rPr>
              <w:t>能耗应≤</w:t>
            </w:r>
            <w:r w:rsidRPr="008E2873">
              <w:rPr>
                <w:rFonts w:ascii="Cambria Math" w:hAnsi="Cambria Math" w:cs="Cambria Math" w:hint="eastAsia"/>
                <w:noProof/>
                <w:szCs w:val="21"/>
              </w:rPr>
              <w:t>0.5t</w:t>
            </w:r>
            <w:r w:rsidRPr="008E2873">
              <w:rPr>
                <w:rFonts w:ascii="Cambria Math" w:hAnsi="Cambria Math" w:cs="Cambria Math" w:hint="eastAsia"/>
                <w:noProof/>
                <w:szCs w:val="21"/>
              </w:rPr>
              <w:t>标煤</w:t>
            </w:r>
            <w:r w:rsidRPr="008E2873">
              <w:rPr>
                <w:rFonts w:ascii="Cambria Math" w:hAnsi="Cambria Math" w:cs="Cambria Math" w:hint="eastAsia"/>
                <w:noProof/>
                <w:szCs w:val="21"/>
              </w:rPr>
              <w:t>/</w:t>
            </w:r>
            <w:r w:rsidRPr="008E2873">
              <w:rPr>
                <w:rFonts w:ascii="Cambria Math" w:hAnsi="Cambria Math" w:cs="Cambria Math" w:hint="eastAsia"/>
                <w:noProof/>
                <w:szCs w:val="21"/>
              </w:rPr>
              <w:t>万元；</w:t>
            </w:r>
          </w:p>
          <w:p w:rsidR="00FB66EE" w:rsidRPr="008E2873" w:rsidRDefault="00FB66EE" w:rsidP="002B7E8B">
            <w:pPr>
              <w:rPr>
                <w:noProof/>
                <w:szCs w:val="21"/>
              </w:rPr>
            </w:pPr>
            <w:r w:rsidRPr="008E2873">
              <w:rPr>
                <w:rFonts w:ascii="Cambria Math" w:hAnsi="Cambria Math" w:cs="Cambria Math"/>
                <w:noProof/>
                <w:szCs w:val="21"/>
              </w:rPr>
              <w:fldChar w:fldCharType="begin"/>
            </w:r>
            <w:r w:rsidRPr="008E2873">
              <w:rPr>
                <w:rFonts w:ascii="Cambria Math" w:hAnsi="Cambria Math" w:cs="Cambria Math"/>
                <w:noProof/>
                <w:szCs w:val="21"/>
              </w:rPr>
              <w:instrText xml:space="preserve"> </w:instrText>
            </w:r>
            <w:r w:rsidRPr="008E2873">
              <w:rPr>
                <w:rFonts w:ascii="Cambria Math" w:hAnsi="Cambria Math" w:cs="Cambria Math" w:hint="eastAsia"/>
                <w:noProof/>
                <w:szCs w:val="21"/>
              </w:rPr>
              <w:instrText>= 2 \* GB3</w:instrText>
            </w:r>
            <w:r w:rsidRPr="008E2873">
              <w:rPr>
                <w:rFonts w:ascii="Cambria Math" w:hAnsi="Cambria Math" w:cs="Cambria Math"/>
                <w:noProof/>
                <w:szCs w:val="21"/>
              </w:rPr>
              <w:instrText xml:space="preserve"> </w:instrText>
            </w:r>
            <w:r w:rsidRPr="008E2873">
              <w:rPr>
                <w:rFonts w:ascii="Cambria Math" w:hAnsi="Cambria Math" w:cs="Cambria Math"/>
                <w:noProof/>
                <w:szCs w:val="21"/>
              </w:rPr>
              <w:fldChar w:fldCharType="separate"/>
            </w:r>
            <w:r w:rsidRPr="008E2873">
              <w:rPr>
                <w:rFonts w:ascii="Cambria Math" w:hAnsi="Cambria Math" w:cs="Cambria Math" w:hint="eastAsia"/>
                <w:noProof/>
                <w:szCs w:val="21"/>
              </w:rPr>
              <w:t>②</w:t>
            </w:r>
            <w:r w:rsidRPr="008E2873">
              <w:rPr>
                <w:rFonts w:ascii="Cambria Math" w:hAnsi="Cambria Math" w:cs="Cambria Math"/>
                <w:noProof/>
                <w:szCs w:val="21"/>
              </w:rPr>
              <w:fldChar w:fldCharType="end"/>
            </w:r>
            <w:r w:rsidRPr="008E2873">
              <w:rPr>
                <w:rFonts w:ascii="Cambria Math" w:hAnsi="Cambria Math" w:cs="Cambria Math" w:hint="eastAsia"/>
                <w:noProof/>
                <w:szCs w:val="21"/>
              </w:rPr>
              <w:t>禁止</w:t>
            </w:r>
            <w:r w:rsidRPr="008E2873">
              <w:rPr>
                <w:rFonts w:ascii="Cambria Math" w:hAnsi="Cambria Math" w:cs="Cambria Math"/>
                <w:noProof/>
                <w:szCs w:val="21"/>
              </w:rPr>
              <w:t>使用燃煤，</w:t>
            </w:r>
            <w:r w:rsidRPr="008E2873">
              <w:rPr>
                <w:rFonts w:ascii="Cambria Math" w:hAnsi="Cambria Math" w:cs="Cambria Math" w:hint="eastAsia"/>
                <w:noProof/>
                <w:szCs w:val="21"/>
              </w:rPr>
              <w:t>使用天然气、电、</w:t>
            </w:r>
            <w:r w:rsidRPr="008E2873">
              <w:rPr>
                <w:rFonts w:ascii="Cambria Math" w:hAnsi="Cambria Math" w:cs="Cambria Math"/>
                <w:noProof/>
                <w:szCs w:val="21"/>
              </w:rPr>
              <w:t>太阳能</w:t>
            </w:r>
            <w:r w:rsidRPr="008E2873">
              <w:rPr>
                <w:rFonts w:ascii="Cambria Math" w:hAnsi="Cambria Math" w:cs="Cambria Math" w:hint="eastAsia"/>
                <w:noProof/>
                <w:szCs w:val="21"/>
              </w:rPr>
              <w:t>等清洁能源；</w:t>
            </w:r>
          </w:p>
          <w:p w:rsidR="00FB66EE" w:rsidRPr="008E2873" w:rsidRDefault="00FB66EE" w:rsidP="002B7E8B">
            <w:pPr>
              <w:widowControl/>
              <w:rPr>
                <w:kern w:val="0"/>
                <w:szCs w:val="21"/>
                <w:lang w:bidi="ar"/>
              </w:rPr>
            </w:pPr>
            <w:r w:rsidRPr="008E2873">
              <w:rPr>
                <w:rFonts w:ascii="Cambria Math" w:hAnsi="Cambria Math" w:cs="Cambria Math"/>
                <w:noProof/>
                <w:szCs w:val="21"/>
              </w:rPr>
              <w:fldChar w:fldCharType="begin"/>
            </w:r>
            <w:r w:rsidRPr="008E2873">
              <w:rPr>
                <w:rFonts w:ascii="Cambria Math" w:hAnsi="Cambria Math" w:cs="Cambria Math"/>
                <w:noProof/>
                <w:szCs w:val="21"/>
              </w:rPr>
              <w:instrText xml:space="preserve"> </w:instrText>
            </w:r>
            <w:r w:rsidRPr="008E2873">
              <w:rPr>
                <w:rFonts w:ascii="Cambria Math" w:hAnsi="Cambria Math" w:cs="Cambria Math" w:hint="eastAsia"/>
                <w:noProof/>
                <w:szCs w:val="21"/>
              </w:rPr>
              <w:instrText>= 3 \* GB3</w:instrText>
            </w:r>
            <w:r w:rsidRPr="008E2873">
              <w:rPr>
                <w:rFonts w:ascii="Cambria Math" w:hAnsi="Cambria Math" w:cs="Cambria Math"/>
                <w:noProof/>
                <w:szCs w:val="21"/>
              </w:rPr>
              <w:instrText xml:space="preserve"> </w:instrText>
            </w:r>
            <w:r w:rsidRPr="008E2873">
              <w:rPr>
                <w:rFonts w:ascii="Cambria Math" w:hAnsi="Cambria Math" w:cs="Cambria Math"/>
                <w:noProof/>
                <w:szCs w:val="21"/>
              </w:rPr>
              <w:fldChar w:fldCharType="separate"/>
            </w:r>
            <w:r w:rsidRPr="008E2873">
              <w:rPr>
                <w:rFonts w:ascii="Cambria Math" w:hAnsi="Cambria Math" w:cs="Cambria Math" w:hint="eastAsia"/>
                <w:noProof/>
                <w:szCs w:val="21"/>
              </w:rPr>
              <w:t>③</w:t>
            </w:r>
            <w:r w:rsidRPr="008E2873">
              <w:rPr>
                <w:rFonts w:ascii="Cambria Math" w:hAnsi="Cambria Math" w:cs="Cambria Math"/>
                <w:noProof/>
                <w:szCs w:val="21"/>
              </w:rPr>
              <w:fldChar w:fldCharType="end"/>
            </w:r>
            <w:r w:rsidRPr="008E2873">
              <w:rPr>
                <w:rFonts w:hint="eastAsia"/>
                <w:szCs w:val="21"/>
              </w:rPr>
              <w:t>入区企业万元生产总值用水量应≤</w:t>
            </w:r>
            <w:r w:rsidRPr="008E2873">
              <w:rPr>
                <w:szCs w:val="21"/>
              </w:rPr>
              <w:t>110.95</w:t>
            </w:r>
            <w:r w:rsidRPr="008E2873">
              <w:rPr>
                <w:rFonts w:hint="eastAsia"/>
                <w:szCs w:val="21"/>
              </w:rPr>
              <w:t>m</w:t>
            </w:r>
            <w:r w:rsidRPr="008E2873">
              <w:rPr>
                <w:rFonts w:hint="eastAsia"/>
                <w:szCs w:val="21"/>
                <w:vertAlign w:val="superscript"/>
              </w:rPr>
              <w:t>3</w:t>
            </w:r>
            <w:r w:rsidRPr="008E2873">
              <w:rPr>
                <w:rFonts w:hint="eastAsia"/>
                <w:szCs w:val="21"/>
              </w:rPr>
              <w:t>。</w:t>
            </w:r>
          </w:p>
        </w:tc>
      </w:tr>
      <w:tr w:rsidR="008E2873" w:rsidRPr="008E2873" w:rsidTr="002B7E8B">
        <w:trPr>
          <w:trHeight w:val="108"/>
        </w:trPr>
        <w:tc>
          <w:tcPr>
            <w:tcW w:w="0" w:type="auto"/>
            <w:vAlign w:val="center"/>
          </w:tcPr>
          <w:p w:rsidR="00FB66EE" w:rsidRPr="008E2873" w:rsidRDefault="00FB66EE" w:rsidP="002B7E8B">
            <w:pPr>
              <w:pStyle w:val="a8"/>
              <w:rPr>
                <w:rFonts w:ascii="Times New Roman" w:hAnsi="Times New Roman"/>
                <w:spacing w:val="8"/>
                <w:kern w:val="18"/>
              </w:rPr>
            </w:pPr>
            <w:r w:rsidRPr="008E2873">
              <w:rPr>
                <w:rFonts w:ascii="Times New Roman" w:hAnsi="Times New Roman"/>
                <w:spacing w:val="8"/>
                <w:kern w:val="18"/>
              </w:rPr>
              <w:t>生态旅游</w:t>
            </w:r>
          </w:p>
        </w:tc>
        <w:tc>
          <w:tcPr>
            <w:tcW w:w="0" w:type="auto"/>
            <w:gridSpan w:val="2"/>
            <w:vAlign w:val="center"/>
          </w:tcPr>
          <w:p w:rsidR="00FB66EE" w:rsidRPr="008E2873" w:rsidRDefault="00FB66EE" w:rsidP="002B7E8B">
            <w:pPr>
              <w:jc w:val="center"/>
              <w:rPr>
                <w:szCs w:val="21"/>
              </w:rPr>
            </w:pPr>
            <w:r w:rsidRPr="008E2873">
              <w:rPr>
                <w:szCs w:val="21"/>
              </w:rPr>
              <w:t>/</w:t>
            </w:r>
          </w:p>
        </w:tc>
        <w:tc>
          <w:tcPr>
            <w:tcW w:w="0" w:type="auto"/>
            <w:vMerge/>
            <w:vAlign w:val="center"/>
          </w:tcPr>
          <w:p w:rsidR="00FB66EE" w:rsidRPr="008E2873" w:rsidRDefault="00FB66EE" w:rsidP="002B7E8B">
            <w:pPr>
              <w:jc w:val="center"/>
              <w:rPr>
                <w:szCs w:val="21"/>
              </w:rPr>
            </w:pPr>
          </w:p>
        </w:tc>
        <w:tc>
          <w:tcPr>
            <w:tcW w:w="0" w:type="auto"/>
            <w:vMerge/>
            <w:vAlign w:val="center"/>
          </w:tcPr>
          <w:p w:rsidR="00FB66EE" w:rsidRPr="008E2873" w:rsidRDefault="00FB66EE" w:rsidP="002B7E8B">
            <w:pPr>
              <w:jc w:val="center"/>
              <w:rPr>
                <w:bCs/>
                <w:szCs w:val="21"/>
              </w:rPr>
            </w:pPr>
          </w:p>
        </w:tc>
      </w:tr>
      <w:tr w:rsidR="008E2873" w:rsidRPr="008E2873" w:rsidTr="002B7E8B">
        <w:trPr>
          <w:trHeight w:val="810"/>
        </w:trPr>
        <w:tc>
          <w:tcPr>
            <w:tcW w:w="0" w:type="auto"/>
            <w:vMerge w:val="restart"/>
            <w:vAlign w:val="center"/>
          </w:tcPr>
          <w:p w:rsidR="00FB66EE" w:rsidRPr="008E2873" w:rsidRDefault="00FB66EE" w:rsidP="002B7E8B">
            <w:pPr>
              <w:pStyle w:val="a8"/>
              <w:rPr>
                <w:rFonts w:ascii="Times New Roman" w:hAnsi="Times New Roman"/>
              </w:rPr>
            </w:pPr>
            <w:r w:rsidRPr="008E2873">
              <w:rPr>
                <w:rFonts w:ascii="Times New Roman" w:hAnsi="Times New Roman"/>
              </w:rPr>
              <w:t>生物医药</w:t>
            </w:r>
          </w:p>
        </w:tc>
        <w:tc>
          <w:tcPr>
            <w:tcW w:w="0" w:type="auto"/>
            <w:vMerge w:val="restart"/>
            <w:vAlign w:val="center"/>
          </w:tcPr>
          <w:p w:rsidR="00FB66EE" w:rsidRPr="008E2873" w:rsidRDefault="00FB66EE" w:rsidP="002B7E8B">
            <w:pPr>
              <w:jc w:val="center"/>
              <w:rPr>
                <w:szCs w:val="21"/>
              </w:rPr>
            </w:pPr>
            <w:r w:rsidRPr="008E2873">
              <w:rPr>
                <w:szCs w:val="21"/>
              </w:rPr>
              <w:t>27</w:t>
            </w:r>
            <w:r w:rsidRPr="008E2873">
              <w:rPr>
                <w:szCs w:val="21"/>
              </w:rPr>
              <w:t>医药制造业</w:t>
            </w:r>
          </w:p>
        </w:tc>
        <w:tc>
          <w:tcPr>
            <w:tcW w:w="0" w:type="auto"/>
            <w:vAlign w:val="center"/>
          </w:tcPr>
          <w:p w:rsidR="00FB66EE" w:rsidRPr="008E2873" w:rsidRDefault="00FB66EE" w:rsidP="002B7E8B">
            <w:pPr>
              <w:jc w:val="center"/>
              <w:rPr>
                <w:szCs w:val="21"/>
              </w:rPr>
            </w:pPr>
            <w:r w:rsidRPr="008E2873">
              <w:rPr>
                <w:szCs w:val="21"/>
              </w:rPr>
              <w:t xml:space="preserve">2710 </w:t>
            </w:r>
            <w:r w:rsidRPr="008E2873">
              <w:rPr>
                <w:szCs w:val="21"/>
              </w:rPr>
              <w:t>化学药品原药制造</w:t>
            </w:r>
          </w:p>
        </w:tc>
        <w:tc>
          <w:tcPr>
            <w:tcW w:w="0" w:type="auto"/>
            <w:vAlign w:val="center"/>
          </w:tcPr>
          <w:p w:rsidR="00FB66EE" w:rsidRPr="008E2873" w:rsidRDefault="00FB66EE" w:rsidP="002B7E8B">
            <w:pPr>
              <w:jc w:val="center"/>
              <w:rPr>
                <w:szCs w:val="21"/>
              </w:rPr>
            </w:pPr>
            <w:r w:rsidRPr="008E2873">
              <w:rPr>
                <w:szCs w:val="21"/>
              </w:rPr>
              <w:t>化学药品原药制造</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675"/>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 xml:space="preserve">2720 </w:t>
            </w:r>
            <w:r w:rsidRPr="008E2873">
              <w:rPr>
                <w:szCs w:val="21"/>
              </w:rPr>
              <w:t>化学药品制剂制造</w:t>
            </w:r>
          </w:p>
        </w:tc>
        <w:tc>
          <w:tcPr>
            <w:tcW w:w="0" w:type="auto"/>
            <w:vAlign w:val="center"/>
          </w:tcPr>
          <w:p w:rsidR="00FB66EE" w:rsidRPr="008E2873" w:rsidRDefault="00FB66EE" w:rsidP="002B7E8B">
            <w:pPr>
              <w:jc w:val="center"/>
              <w:rPr>
                <w:szCs w:val="21"/>
              </w:rPr>
            </w:pPr>
            <w:r w:rsidRPr="008E2873">
              <w:rPr>
                <w:szCs w:val="21"/>
              </w:rPr>
              <w:t>不符合《林芝地区环境保护局关于提高石化化工、化学医药类项目准入门槛的意见》（林地环字</w:t>
            </w:r>
            <w:r w:rsidRPr="008E2873">
              <w:rPr>
                <w:szCs w:val="21"/>
              </w:rPr>
              <w:t>[2014]131</w:t>
            </w:r>
            <w:r w:rsidRPr="008E2873">
              <w:rPr>
                <w:szCs w:val="21"/>
              </w:rPr>
              <w:t>号）的化学医药类项目，发酵类制药项目、有明显异味的项目</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270"/>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2730</w:t>
            </w:r>
            <w:r w:rsidRPr="008E2873">
              <w:rPr>
                <w:szCs w:val="21"/>
              </w:rPr>
              <w:t>中药饮片加工</w:t>
            </w:r>
          </w:p>
        </w:tc>
        <w:tc>
          <w:tcPr>
            <w:tcW w:w="0" w:type="auto"/>
            <w:vAlign w:val="center"/>
          </w:tcPr>
          <w:p w:rsidR="00FB66EE" w:rsidRPr="008E2873" w:rsidRDefault="00FB66EE" w:rsidP="002B7E8B">
            <w:pPr>
              <w:jc w:val="center"/>
              <w:rPr>
                <w:szCs w:val="21"/>
              </w:rPr>
            </w:pPr>
            <w:r w:rsidRPr="008E2873">
              <w:rPr>
                <w:szCs w:val="21"/>
              </w:rPr>
              <w:t>/</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255"/>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2740</w:t>
            </w:r>
            <w:r w:rsidRPr="008E2873">
              <w:rPr>
                <w:szCs w:val="21"/>
              </w:rPr>
              <w:t>中成药生产</w:t>
            </w:r>
          </w:p>
        </w:tc>
        <w:tc>
          <w:tcPr>
            <w:tcW w:w="0" w:type="auto"/>
            <w:vAlign w:val="center"/>
          </w:tcPr>
          <w:p w:rsidR="00FB66EE" w:rsidRPr="008E2873" w:rsidRDefault="00FB66EE" w:rsidP="002B7E8B">
            <w:pPr>
              <w:widowControl/>
              <w:jc w:val="center"/>
              <w:rPr>
                <w:szCs w:val="21"/>
              </w:rPr>
            </w:pPr>
            <w:r w:rsidRPr="008E2873">
              <w:rPr>
                <w:szCs w:val="21"/>
              </w:rPr>
              <w:t>/</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255"/>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2750</w:t>
            </w:r>
            <w:r w:rsidRPr="008E2873">
              <w:rPr>
                <w:szCs w:val="21"/>
              </w:rPr>
              <w:t>兽用药品制造</w:t>
            </w:r>
          </w:p>
        </w:tc>
        <w:tc>
          <w:tcPr>
            <w:tcW w:w="0" w:type="auto"/>
            <w:vAlign w:val="center"/>
          </w:tcPr>
          <w:p w:rsidR="00FB66EE" w:rsidRPr="008E2873" w:rsidRDefault="00FB66EE" w:rsidP="002B7E8B">
            <w:pPr>
              <w:widowControl/>
              <w:jc w:val="center"/>
              <w:rPr>
                <w:szCs w:val="21"/>
              </w:rPr>
            </w:pPr>
            <w:r w:rsidRPr="008E2873">
              <w:rPr>
                <w:szCs w:val="21"/>
              </w:rPr>
              <w:t>发酵类制药项目、有明显异味的项目</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315"/>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2761</w:t>
            </w:r>
            <w:r w:rsidRPr="008E2873">
              <w:rPr>
                <w:szCs w:val="21"/>
              </w:rPr>
              <w:t>生物药品制造</w:t>
            </w:r>
          </w:p>
        </w:tc>
        <w:tc>
          <w:tcPr>
            <w:tcW w:w="0" w:type="auto"/>
            <w:vAlign w:val="center"/>
          </w:tcPr>
          <w:p w:rsidR="00FB66EE" w:rsidRPr="008E2873" w:rsidRDefault="00FB66EE" w:rsidP="002B7E8B">
            <w:pPr>
              <w:widowControl/>
              <w:jc w:val="center"/>
              <w:rPr>
                <w:szCs w:val="21"/>
              </w:rPr>
            </w:pPr>
            <w:r w:rsidRPr="008E2873">
              <w:rPr>
                <w:szCs w:val="21"/>
              </w:rPr>
              <w:t>发酵类制药、有明显异味的项目</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390"/>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2762</w:t>
            </w:r>
            <w:r w:rsidRPr="008E2873">
              <w:rPr>
                <w:szCs w:val="21"/>
              </w:rPr>
              <w:t>基因工程药物和疫苗制造</w:t>
            </w:r>
          </w:p>
        </w:tc>
        <w:tc>
          <w:tcPr>
            <w:tcW w:w="0" w:type="auto"/>
            <w:vAlign w:val="center"/>
          </w:tcPr>
          <w:p w:rsidR="00FB66EE" w:rsidRPr="008E2873" w:rsidRDefault="00FB66EE" w:rsidP="002B7E8B">
            <w:pPr>
              <w:widowControl/>
              <w:jc w:val="center"/>
              <w:rPr>
                <w:szCs w:val="21"/>
              </w:rPr>
            </w:pPr>
            <w:r w:rsidRPr="008E2873">
              <w:rPr>
                <w:szCs w:val="21"/>
              </w:rPr>
              <w:t>基因工程药物和疫苗制造</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480"/>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 xml:space="preserve">277 </w:t>
            </w:r>
            <w:r w:rsidRPr="008E2873">
              <w:rPr>
                <w:szCs w:val="21"/>
              </w:rPr>
              <w:t>卫生材料及医药用品制造</w:t>
            </w:r>
          </w:p>
        </w:tc>
        <w:tc>
          <w:tcPr>
            <w:tcW w:w="0" w:type="auto"/>
            <w:vAlign w:val="center"/>
          </w:tcPr>
          <w:p w:rsidR="00FB66EE" w:rsidRPr="008E2873" w:rsidRDefault="00FB66EE" w:rsidP="002B7E8B">
            <w:pPr>
              <w:widowControl/>
              <w:jc w:val="center"/>
              <w:rPr>
                <w:szCs w:val="21"/>
              </w:rPr>
            </w:pPr>
            <w:r w:rsidRPr="008E2873">
              <w:rPr>
                <w:szCs w:val="21"/>
              </w:rPr>
              <w:t>/</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480"/>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2780</w:t>
            </w:r>
            <w:r w:rsidRPr="008E2873">
              <w:rPr>
                <w:szCs w:val="21"/>
              </w:rPr>
              <w:t>药用辅料及包装材料</w:t>
            </w:r>
          </w:p>
        </w:tc>
        <w:tc>
          <w:tcPr>
            <w:tcW w:w="0" w:type="auto"/>
            <w:vAlign w:val="center"/>
          </w:tcPr>
          <w:p w:rsidR="00FB66EE" w:rsidRPr="008E2873" w:rsidRDefault="00FB66EE" w:rsidP="002B7E8B">
            <w:pPr>
              <w:widowControl/>
              <w:jc w:val="center"/>
              <w:rPr>
                <w:szCs w:val="21"/>
              </w:rPr>
            </w:pPr>
            <w:r w:rsidRPr="008E2873">
              <w:rPr>
                <w:szCs w:val="21"/>
              </w:rPr>
              <w:t>/</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1221"/>
        </w:trPr>
        <w:tc>
          <w:tcPr>
            <w:tcW w:w="0" w:type="auto"/>
            <w:vMerge/>
            <w:vAlign w:val="center"/>
          </w:tcPr>
          <w:p w:rsidR="00FB66EE" w:rsidRPr="008E2873" w:rsidRDefault="00FB66EE" w:rsidP="002B7E8B">
            <w:pPr>
              <w:pStyle w:val="a8"/>
              <w:rPr>
                <w:rFonts w:ascii="Times New Roman" w:hAnsi="Times New Roman"/>
              </w:rPr>
            </w:pPr>
          </w:p>
        </w:tc>
        <w:tc>
          <w:tcPr>
            <w:tcW w:w="0" w:type="auto"/>
            <w:vMerge w:val="restart"/>
            <w:vAlign w:val="center"/>
          </w:tcPr>
          <w:p w:rsidR="00FB66EE" w:rsidRPr="008E2873" w:rsidRDefault="00FB66EE" w:rsidP="002B7E8B">
            <w:pPr>
              <w:jc w:val="center"/>
              <w:rPr>
                <w:szCs w:val="21"/>
              </w:rPr>
            </w:pPr>
            <w:r w:rsidRPr="008E2873">
              <w:rPr>
                <w:szCs w:val="21"/>
              </w:rPr>
              <w:t>高端化妆品</w:t>
            </w:r>
          </w:p>
        </w:tc>
        <w:tc>
          <w:tcPr>
            <w:tcW w:w="0" w:type="auto"/>
            <w:vAlign w:val="center"/>
          </w:tcPr>
          <w:p w:rsidR="00FB66EE" w:rsidRPr="008E2873" w:rsidRDefault="00FB66EE" w:rsidP="002B7E8B">
            <w:pPr>
              <w:jc w:val="center"/>
              <w:rPr>
                <w:szCs w:val="21"/>
              </w:rPr>
            </w:pPr>
            <w:r w:rsidRPr="008E2873">
              <w:rPr>
                <w:szCs w:val="21"/>
              </w:rPr>
              <w:t>2682</w:t>
            </w:r>
            <w:r w:rsidRPr="008E2873">
              <w:rPr>
                <w:szCs w:val="21"/>
              </w:rPr>
              <w:t>化妆品制造</w:t>
            </w:r>
          </w:p>
        </w:tc>
        <w:tc>
          <w:tcPr>
            <w:tcW w:w="0" w:type="auto"/>
            <w:vMerge w:val="restart"/>
            <w:vAlign w:val="center"/>
          </w:tcPr>
          <w:p w:rsidR="00FB66EE" w:rsidRPr="008E2873" w:rsidRDefault="00FB66EE" w:rsidP="002B7E8B">
            <w:pPr>
              <w:widowControl/>
              <w:jc w:val="center"/>
              <w:rPr>
                <w:szCs w:val="21"/>
              </w:rPr>
            </w:pPr>
            <w:r w:rsidRPr="008E2873">
              <w:rPr>
                <w:szCs w:val="21"/>
              </w:rPr>
              <w:t>含有化学工艺的精细化工、含有化学工艺的日用化工</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1221"/>
        </w:trPr>
        <w:tc>
          <w:tcPr>
            <w:tcW w:w="0" w:type="auto"/>
            <w:vMerge/>
            <w:vAlign w:val="center"/>
          </w:tcPr>
          <w:p w:rsidR="00FB66EE" w:rsidRPr="008E2873" w:rsidRDefault="00FB66EE" w:rsidP="002B7E8B">
            <w:pPr>
              <w:pStyle w:val="a8"/>
              <w:rPr>
                <w:rFonts w:ascii="Times New Roman" w:hAnsi="Times New Roman"/>
              </w:rPr>
            </w:pPr>
          </w:p>
        </w:tc>
        <w:tc>
          <w:tcPr>
            <w:tcW w:w="0" w:type="auto"/>
            <w:vMerge/>
            <w:vAlign w:val="center"/>
          </w:tcPr>
          <w:p w:rsidR="00FB66EE" w:rsidRPr="008E2873" w:rsidRDefault="00FB66EE" w:rsidP="002B7E8B">
            <w:pPr>
              <w:jc w:val="center"/>
              <w:rPr>
                <w:szCs w:val="21"/>
              </w:rPr>
            </w:pPr>
          </w:p>
        </w:tc>
        <w:tc>
          <w:tcPr>
            <w:tcW w:w="0" w:type="auto"/>
            <w:vAlign w:val="center"/>
          </w:tcPr>
          <w:p w:rsidR="00FB66EE" w:rsidRPr="008E2873" w:rsidRDefault="00FB66EE" w:rsidP="002B7E8B">
            <w:pPr>
              <w:jc w:val="center"/>
              <w:rPr>
                <w:szCs w:val="21"/>
              </w:rPr>
            </w:pPr>
            <w:r w:rsidRPr="008E2873">
              <w:rPr>
                <w:szCs w:val="21"/>
              </w:rPr>
              <w:t>2684</w:t>
            </w:r>
            <w:r w:rsidRPr="008E2873">
              <w:rPr>
                <w:szCs w:val="21"/>
              </w:rPr>
              <w:t>香料、香精制造</w:t>
            </w:r>
          </w:p>
        </w:tc>
        <w:tc>
          <w:tcPr>
            <w:tcW w:w="0" w:type="auto"/>
            <w:vMerge/>
            <w:vAlign w:val="center"/>
          </w:tcPr>
          <w:p w:rsidR="00FB66EE" w:rsidRPr="008E2873" w:rsidRDefault="00FB66EE" w:rsidP="002B7E8B">
            <w:pPr>
              <w:widowControl/>
              <w:jc w:val="center"/>
              <w:rPr>
                <w:szCs w:val="21"/>
              </w:rPr>
            </w:pP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480"/>
        </w:trPr>
        <w:tc>
          <w:tcPr>
            <w:tcW w:w="0" w:type="auto"/>
            <w:vMerge/>
            <w:vAlign w:val="center"/>
          </w:tcPr>
          <w:p w:rsidR="00FB66EE" w:rsidRPr="008E2873" w:rsidRDefault="00FB66EE" w:rsidP="002B7E8B">
            <w:pPr>
              <w:pStyle w:val="a8"/>
              <w:rPr>
                <w:rFonts w:ascii="Times New Roman" w:hAnsi="Times New Roman"/>
              </w:rPr>
            </w:pPr>
          </w:p>
        </w:tc>
        <w:tc>
          <w:tcPr>
            <w:tcW w:w="0" w:type="auto"/>
            <w:gridSpan w:val="2"/>
            <w:vAlign w:val="center"/>
          </w:tcPr>
          <w:p w:rsidR="00FB66EE" w:rsidRPr="008E2873" w:rsidRDefault="00FB66EE" w:rsidP="002B7E8B">
            <w:pPr>
              <w:jc w:val="center"/>
              <w:rPr>
                <w:szCs w:val="21"/>
              </w:rPr>
            </w:pPr>
            <w:r w:rsidRPr="008E2873">
              <w:rPr>
                <w:szCs w:val="21"/>
              </w:rPr>
              <w:t>高原保健品</w:t>
            </w:r>
          </w:p>
        </w:tc>
        <w:tc>
          <w:tcPr>
            <w:tcW w:w="0" w:type="auto"/>
            <w:vAlign w:val="center"/>
          </w:tcPr>
          <w:p w:rsidR="00FB66EE" w:rsidRPr="008E2873" w:rsidRDefault="00FB66EE" w:rsidP="002B7E8B">
            <w:pPr>
              <w:widowControl/>
              <w:jc w:val="center"/>
              <w:rPr>
                <w:szCs w:val="21"/>
              </w:rPr>
            </w:pPr>
            <w:r w:rsidRPr="008E2873">
              <w:rPr>
                <w:szCs w:val="21"/>
              </w:rPr>
              <w:t>涉及发酵工艺的项目，废水产生量大且难处理的项目，有明显异味的项目</w:t>
            </w:r>
          </w:p>
        </w:tc>
        <w:tc>
          <w:tcPr>
            <w:tcW w:w="0" w:type="auto"/>
            <w:vMerge/>
            <w:vAlign w:val="center"/>
          </w:tcPr>
          <w:p w:rsidR="00FB66EE" w:rsidRPr="008E2873" w:rsidRDefault="00FB66EE" w:rsidP="002B7E8B">
            <w:pPr>
              <w:jc w:val="center"/>
              <w:rPr>
                <w:spacing w:val="8"/>
                <w:kern w:val="18"/>
                <w:szCs w:val="21"/>
              </w:rPr>
            </w:pPr>
          </w:p>
        </w:tc>
      </w:tr>
      <w:tr w:rsidR="008E2873" w:rsidRPr="008E2873" w:rsidTr="002B7E8B">
        <w:trPr>
          <w:trHeight w:val="480"/>
        </w:trPr>
        <w:tc>
          <w:tcPr>
            <w:tcW w:w="0" w:type="auto"/>
            <w:vAlign w:val="center"/>
          </w:tcPr>
          <w:p w:rsidR="00FB66EE" w:rsidRPr="008E2873" w:rsidRDefault="00FB66EE" w:rsidP="002B7E8B">
            <w:pPr>
              <w:pStyle w:val="a8"/>
              <w:rPr>
                <w:rFonts w:ascii="Times New Roman" w:hAnsi="Times New Roman"/>
              </w:rPr>
            </w:pPr>
            <w:r w:rsidRPr="008E2873">
              <w:rPr>
                <w:rFonts w:ascii="Times New Roman" w:hAnsi="Times New Roman" w:hint="eastAsia"/>
              </w:rPr>
              <w:t>其他</w:t>
            </w:r>
            <w:r w:rsidRPr="008E2873">
              <w:rPr>
                <w:rFonts w:ascii="Times New Roman" w:hAnsi="Times New Roman"/>
              </w:rPr>
              <w:t>行业</w:t>
            </w:r>
          </w:p>
        </w:tc>
        <w:tc>
          <w:tcPr>
            <w:tcW w:w="0" w:type="auto"/>
            <w:gridSpan w:val="2"/>
            <w:vAlign w:val="center"/>
          </w:tcPr>
          <w:p w:rsidR="00FB66EE" w:rsidRPr="008E2873" w:rsidRDefault="00FB66EE" w:rsidP="002B7E8B">
            <w:pPr>
              <w:jc w:val="center"/>
              <w:rPr>
                <w:szCs w:val="21"/>
              </w:rPr>
            </w:pPr>
            <w:r w:rsidRPr="008E2873">
              <w:rPr>
                <w:rFonts w:hint="eastAsia"/>
                <w:szCs w:val="21"/>
              </w:rPr>
              <w:t>/</w:t>
            </w:r>
          </w:p>
        </w:tc>
        <w:tc>
          <w:tcPr>
            <w:tcW w:w="0" w:type="auto"/>
            <w:vAlign w:val="center"/>
          </w:tcPr>
          <w:p w:rsidR="00FB66EE" w:rsidRPr="008E2873" w:rsidRDefault="00FB66EE" w:rsidP="002B7E8B">
            <w:pPr>
              <w:rPr>
                <w:szCs w:val="21"/>
              </w:rPr>
            </w:pPr>
            <w:r w:rsidRPr="008E2873">
              <w:rPr>
                <w:szCs w:val="21"/>
              </w:rPr>
              <w:fldChar w:fldCharType="begin"/>
            </w:r>
            <w:r w:rsidRPr="008E2873">
              <w:rPr>
                <w:szCs w:val="21"/>
              </w:rPr>
              <w:instrText xml:space="preserve"> = 1 \* GB3 </w:instrText>
            </w:r>
            <w:r w:rsidRPr="008E2873">
              <w:rPr>
                <w:szCs w:val="21"/>
              </w:rPr>
              <w:fldChar w:fldCharType="separate"/>
            </w:r>
            <w:r w:rsidRPr="008E2873">
              <w:rPr>
                <w:rFonts w:ascii="宋体" w:hAnsi="宋体" w:cs="宋体" w:hint="eastAsia"/>
                <w:szCs w:val="21"/>
              </w:rPr>
              <w:t>①</w:t>
            </w:r>
            <w:r w:rsidRPr="008E2873">
              <w:rPr>
                <w:szCs w:val="21"/>
              </w:rPr>
              <w:fldChar w:fldCharType="end"/>
            </w:r>
            <w:r w:rsidRPr="008E2873">
              <w:rPr>
                <w:szCs w:val="21"/>
              </w:rPr>
              <w:t>不符合国家现行产业政策、准入条件、环保法律法规的项目；</w:t>
            </w:r>
          </w:p>
          <w:p w:rsidR="00FB66EE" w:rsidRPr="008E2873" w:rsidRDefault="00FB66EE" w:rsidP="002B7E8B">
            <w:pPr>
              <w:rPr>
                <w:szCs w:val="21"/>
              </w:rPr>
            </w:pPr>
            <w:r w:rsidRPr="008E2873">
              <w:rPr>
                <w:szCs w:val="21"/>
              </w:rPr>
              <w:fldChar w:fldCharType="begin"/>
            </w:r>
            <w:r w:rsidRPr="008E2873">
              <w:rPr>
                <w:szCs w:val="21"/>
              </w:rPr>
              <w:instrText xml:space="preserve"> = 2 \* GB3 </w:instrText>
            </w:r>
            <w:r w:rsidRPr="008E2873">
              <w:rPr>
                <w:szCs w:val="21"/>
              </w:rPr>
              <w:fldChar w:fldCharType="separate"/>
            </w:r>
            <w:r w:rsidRPr="008E2873">
              <w:rPr>
                <w:rFonts w:ascii="宋体" w:hAnsi="宋体" w:cs="宋体" w:hint="eastAsia"/>
                <w:szCs w:val="21"/>
              </w:rPr>
              <w:t>②</w:t>
            </w:r>
            <w:r w:rsidRPr="008E2873">
              <w:rPr>
                <w:szCs w:val="21"/>
              </w:rPr>
              <w:fldChar w:fldCharType="end"/>
            </w:r>
            <w:r w:rsidRPr="008E2873">
              <w:rPr>
                <w:szCs w:val="21"/>
              </w:rPr>
              <w:t>《市场准入负面清单</w:t>
            </w:r>
            <w:r w:rsidRPr="008E2873">
              <w:rPr>
                <w:szCs w:val="21"/>
              </w:rPr>
              <w:t>2018</w:t>
            </w:r>
            <w:r w:rsidRPr="008E2873">
              <w:rPr>
                <w:szCs w:val="21"/>
              </w:rPr>
              <w:t>版》中禁止准入事项；</w:t>
            </w:r>
          </w:p>
          <w:p w:rsidR="00FB66EE" w:rsidRPr="008E2873" w:rsidRDefault="00FB66EE" w:rsidP="002B7E8B">
            <w:pPr>
              <w:rPr>
                <w:szCs w:val="21"/>
              </w:rPr>
            </w:pPr>
            <w:r w:rsidRPr="008E2873">
              <w:rPr>
                <w:szCs w:val="21"/>
              </w:rPr>
              <w:fldChar w:fldCharType="begin"/>
            </w:r>
            <w:r w:rsidRPr="008E2873">
              <w:rPr>
                <w:szCs w:val="21"/>
              </w:rPr>
              <w:instrText xml:space="preserve"> = 3 \* GB3 </w:instrText>
            </w:r>
            <w:r w:rsidRPr="008E2873">
              <w:rPr>
                <w:szCs w:val="21"/>
              </w:rPr>
              <w:fldChar w:fldCharType="separate"/>
            </w:r>
            <w:r w:rsidRPr="008E2873">
              <w:rPr>
                <w:rFonts w:ascii="宋体" w:hAnsi="宋体" w:cs="宋体" w:hint="eastAsia"/>
                <w:szCs w:val="21"/>
              </w:rPr>
              <w:t>③</w:t>
            </w:r>
            <w:r w:rsidRPr="008E2873">
              <w:rPr>
                <w:szCs w:val="21"/>
              </w:rPr>
              <w:fldChar w:fldCharType="end"/>
            </w:r>
            <w:r w:rsidRPr="008E2873">
              <w:rPr>
                <w:szCs w:val="21"/>
              </w:rPr>
              <w:t>技术落后，项目清洁生产水平不能达到行业清洁生产标准二级标准要求或低于全国同类企业平均清洁生产水平的项目；</w:t>
            </w:r>
          </w:p>
          <w:p w:rsidR="00FB66EE" w:rsidRPr="008E2873" w:rsidRDefault="00FB66EE" w:rsidP="002B7E8B">
            <w:pPr>
              <w:rPr>
                <w:szCs w:val="21"/>
              </w:rPr>
            </w:pPr>
            <w:r w:rsidRPr="008E2873">
              <w:rPr>
                <w:rFonts w:ascii="宋体" w:hAnsi="宋体" w:cs="宋体" w:hint="eastAsia"/>
                <w:szCs w:val="21"/>
              </w:rPr>
              <w:t>④</w:t>
            </w:r>
            <w:r w:rsidRPr="008E2873">
              <w:rPr>
                <w:szCs w:val="21"/>
              </w:rPr>
              <w:t>不符合国家及省、市、县（区）重金属污染防治规划要求的项目；</w:t>
            </w:r>
          </w:p>
          <w:p w:rsidR="00FB66EE" w:rsidRPr="008E2873" w:rsidRDefault="00FB66EE" w:rsidP="002B7E8B">
            <w:pPr>
              <w:rPr>
                <w:szCs w:val="21"/>
              </w:rPr>
            </w:pPr>
            <w:r w:rsidRPr="008E2873">
              <w:rPr>
                <w:szCs w:val="21"/>
              </w:rPr>
              <w:fldChar w:fldCharType="begin"/>
            </w:r>
            <w:r w:rsidRPr="008E2873">
              <w:rPr>
                <w:szCs w:val="21"/>
              </w:rPr>
              <w:instrText xml:space="preserve"> = 5 \* GB3 </w:instrText>
            </w:r>
            <w:r w:rsidRPr="008E2873">
              <w:rPr>
                <w:szCs w:val="21"/>
              </w:rPr>
              <w:fldChar w:fldCharType="separate"/>
            </w:r>
            <w:r w:rsidRPr="008E2873">
              <w:rPr>
                <w:rFonts w:ascii="宋体" w:hAnsi="宋体" w:cs="宋体" w:hint="eastAsia"/>
                <w:szCs w:val="21"/>
              </w:rPr>
              <w:t>⑤</w:t>
            </w:r>
            <w:r w:rsidRPr="008E2873">
              <w:rPr>
                <w:szCs w:val="21"/>
              </w:rPr>
              <w:fldChar w:fldCharType="end"/>
            </w:r>
            <w:r w:rsidRPr="008E2873">
              <w:rPr>
                <w:szCs w:val="21"/>
              </w:rPr>
              <w:t>不符合国家（或地方）大气、水、土壤等污染防治要求的项目；</w:t>
            </w:r>
          </w:p>
          <w:p w:rsidR="00FB66EE" w:rsidRPr="008E2873" w:rsidRDefault="00FB66EE" w:rsidP="002B7E8B">
            <w:pPr>
              <w:rPr>
                <w:szCs w:val="21"/>
              </w:rPr>
            </w:pPr>
            <w:r w:rsidRPr="008E2873">
              <w:rPr>
                <w:szCs w:val="21"/>
              </w:rPr>
              <w:fldChar w:fldCharType="begin"/>
            </w:r>
            <w:r w:rsidRPr="008E2873">
              <w:rPr>
                <w:szCs w:val="21"/>
              </w:rPr>
              <w:instrText xml:space="preserve"> = 6 \* GB3 </w:instrText>
            </w:r>
            <w:r w:rsidRPr="008E2873">
              <w:rPr>
                <w:szCs w:val="21"/>
              </w:rPr>
              <w:fldChar w:fldCharType="separate"/>
            </w:r>
            <w:r w:rsidRPr="008E2873">
              <w:rPr>
                <w:rFonts w:ascii="宋体" w:hAnsi="宋体" w:cs="宋体" w:hint="eastAsia"/>
                <w:szCs w:val="21"/>
              </w:rPr>
              <w:t>⑥</w:t>
            </w:r>
            <w:r w:rsidRPr="008E2873">
              <w:rPr>
                <w:szCs w:val="21"/>
              </w:rPr>
              <w:fldChar w:fldCharType="end"/>
            </w:r>
            <w:r w:rsidRPr="008E2873">
              <w:rPr>
                <w:szCs w:val="21"/>
              </w:rPr>
              <w:t>与拟入园的园区生活空间冲突或经环保论证与周边企业、规划用地等环境不相容或存在重大环境风险隐患且无法消除的项目；</w:t>
            </w:r>
          </w:p>
          <w:p w:rsidR="00FB66EE" w:rsidRPr="008E2873" w:rsidRDefault="00FB66EE" w:rsidP="002B7E8B">
            <w:pPr>
              <w:widowControl/>
              <w:rPr>
                <w:kern w:val="0"/>
                <w:szCs w:val="21"/>
                <w:lang w:bidi="ar"/>
              </w:rPr>
            </w:pPr>
            <w:r w:rsidRPr="008E2873">
              <w:rPr>
                <w:szCs w:val="21"/>
              </w:rPr>
              <w:fldChar w:fldCharType="begin"/>
            </w:r>
            <w:r w:rsidRPr="008E2873">
              <w:rPr>
                <w:szCs w:val="21"/>
              </w:rPr>
              <w:instrText xml:space="preserve"> = 7 \* GB3 </w:instrText>
            </w:r>
            <w:r w:rsidRPr="008E2873">
              <w:rPr>
                <w:szCs w:val="21"/>
              </w:rPr>
              <w:fldChar w:fldCharType="separate"/>
            </w:r>
            <w:r w:rsidRPr="008E2873">
              <w:rPr>
                <w:rFonts w:ascii="宋体" w:hAnsi="宋体" w:cs="宋体" w:hint="eastAsia"/>
                <w:szCs w:val="21"/>
              </w:rPr>
              <w:t>⑦</w:t>
            </w:r>
            <w:r w:rsidRPr="008E2873">
              <w:rPr>
                <w:szCs w:val="21"/>
              </w:rPr>
              <w:fldChar w:fldCharType="end"/>
            </w:r>
            <w:r w:rsidRPr="008E2873">
              <w:rPr>
                <w:szCs w:val="21"/>
              </w:rPr>
              <w:t>危险</w:t>
            </w:r>
            <w:r w:rsidRPr="008E2873">
              <w:rPr>
                <w:kern w:val="0"/>
                <w:szCs w:val="21"/>
                <w:lang w:bidi="ar"/>
              </w:rPr>
              <w:t>品仓储物流；</w:t>
            </w:r>
          </w:p>
          <w:p w:rsidR="00FB66EE" w:rsidRPr="008E2873" w:rsidRDefault="00FB66EE" w:rsidP="002B7E8B">
            <w:pPr>
              <w:widowControl/>
              <w:rPr>
                <w:kern w:val="0"/>
                <w:szCs w:val="21"/>
                <w:lang w:bidi="ar"/>
              </w:rPr>
            </w:pPr>
            <w:r w:rsidRPr="008E2873">
              <w:rPr>
                <w:kern w:val="0"/>
                <w:szCs w:val="21"/>
                <w:lang w:bidi="ar"/>
              </w:rPr>
              <w:fldChar w:fldCharType="begin"/>
            </w:r>
            <w:r w:rsidRPr="008E2873">
              <w:rPr>
                <w:kern w:val="0"/>
                <w:szCs w:val="21"/>
                <w:lang w:bidi="ar"/>
              </w:rPr>
              <w:instrText xml:space="preserve"> = 8 \* GB3 </w:instrText>
            </w:r>
            <w:r w:rsidRPr="008E2873">
              <w:rPr>
                <w:kern w:val="0"/>
                <w:szCs w:val="21"/>
                <w:lang w:bidi="ar"/>
              </w:rPr>
              <w:fldChar w:fldCharType="separate"/>
            </w:r>
            <w:r w:rsidRPr="008E2873">
              <w:rPr>
                <w:rFonts w:ascii="宋体" w:hAnsi="宋体" w:cs="宋体" w:hint="eastAsia"/>
                <w:kern w:val="0"/>
                <w:szCs w:val="21"/>
                <w:lang w:bidi="ar"/>
              </w:rPr>
              <w:t>⑧</w:t>
            </w:r>
            <w:r w:rsidRPr="008E2873">
              <w:rPr>
                <w:kern w:val="0"/>
                <w:szCs w:val="21"/>
                <w:lang w:bidi="ar"/>
              </w:rPr>
              <w:fldChar w:fldCharType="end"/>
            </w:r>
            <w:r w:rsidRPr="008E2873">
              <w:rPr>
                <w:kern w:val="0"/>
                <w:szCs w:val="21"/>
                <w:lang w:bidi="ar"/>
              </w:rPr>
              <w:t>产生含氟废气的企业</w:t>
            </w:r>
            <w:r w:rsidRPr="008E2873">
              <w:rPr>
                <w:rFonts w:hint="eastAsia"/>
                <w:kern w:val="0"/>
                <w:szCs w:val="21"/>
                <w:lang w:bidi="ar"/>
              </w:rPr>
              <w:t>；</w:t>
            </w:r>
          </w:p>
          <w:p w:rsidR="00FB66EE" w:rsidRPr="008E2873" w:rsidRDefault="00FB66EE" w:rsidP="002B7E8B">
            <w:pPr>
              <w:widowControl/>
              <w:rPr>
                <w:szCs w:val="21"/>
              </w:rPr>
            </w:pPr>
            <w:r w:rsidRPr="008E2873">
              <w:rPr>
                <w:kern w:val="0"/>
                <w:szCs w:val="21"/>
                <w:lang w:bidi="ar"/>
              </w:rPr>
              <w:fldChar w:fldCharType="begin"/>
            </w:r>
            <w:r w:rsidRPr="008E2873">
              <w:rPr>
                <w:kern w:val="0"/>
                <w:szCs w:val="21"/>
                <w:lang w:bidi="ar"/>
              </w:rPr>
              <w:instrText xml:space="preserve"> </w:instrText>
            </w:r>
            <w:r w:rsidRPr="008E2873">
              <w:rPr>
                <w:rFonts w:hint="eastAsia"/>
                <w:kern w:val="0"/>
                <w:szCs w:val="21"/>
                <w:lang w:bidi="ar"/>
              </w:rPr>
              <w:instrText>= 9 \* GB3</w:instrText>
            </w:r>
            <w:r w:rsidRPr="008E2873">
              <w:rPr>
                <w:kern w:val="0"/>
                <w:szCs w:val="21"/>
                <w:lang w:bidi="ar"/>
              </w:rPr>
              <w:instrText xml:space="preserve"> </w:instrText>
            </w:r>
            <w:r w:rsidRPr="008E2873">
              <w:rPr>
                <w:kern w:val="0"/>
                <w:szCs w:val="21"/>
                <w:lang w:bidi="ar"/>
              </w:rPr>
              <w:fldChar w:fldCharType="separate"/>
            </w:r>
            <w:r w:rsidRPr="008E2873">
              <w:rPr>
                <w:rFonts w:hint="eastAsia"/>
                <w:noProof/>
                <w:kern w:val="0"/>
                <w:szCs w:val="21"/>
                <w:lang w:bidi="ar"/>
              </w:rPr>
              <w:t>⑨</w:t>
            </w:r>
            <w:r w:rsidRPr="008E2873">
              <w:rPr>
                <w:kern w:val="0"/>
                <w:szCs w:val="21"/>
                <w:lang w:bidi="ar"/>
              </w:rPr>
              <w:fldChar w:fldCharType="end"/>
            </w:r>
            <w:r w:rsidRPr="008E2873">
              <w:rPr>
                <w:rFonts w:hint="eastAsia"/>
                <w:kern w:val="0"/>
                <w:szCs w:val="21"/>
                <w:lang w:bidi="ar"/>
              </w:rPr>
              <w:t>高污染、高耗能、高耗水的“三高企业”。</w:t>
            </w:r>
          </w:p>
        </w:tc>
        <w:tc>
          <w:tcPr>
            <w:tcW w:w="0" w:type="auto"/>
            <w:vMerge/>
            <w:vAlign w:val="center"/>
          </w:tcPr>
          <w:p w:rsidR="00FB66EE" w:rsidRPr="008E2873" w:rsidRDefault="00FB66EE" w:rsidP="002B7E8B">
            <w:pPr>
              <w:jc w:val="center"/>
              <w:rPr>
                <w:spacing w:val="8"/>
                <w:kern w:val="18"/>
                <w:szCs w:val="21"/>
              </w:rPr>
            </w:pPr>
          </w:p>
        </w:tc>
      </w:tr>
    </w:tbl>
    <w:p w:rsidR="00324C71" w:rsidRPr="008E2873" w:rsidRDefault="003A48F4" w:rsidP="001E5649">
      <w:pPr>
        <w:pStyle w:val="1"/>
        <w:spacing w:before="120" w:after="120" w:line="360" w:lineRule="auto"/>
        <w:rPr>
          <w:sz w:val="28"/>
          <w:szCs w:val="28"/>
        </w:rPr>
      </w:pPr>
      <w:r w:rsidRPr="008E2873">
        <w:rPr>
          <w:sz w:val="28"/>
          <w:szCs w:val="28"/>
        </w:rPr>
        <w:t>八</w:t>
      </w:r>
      <w:r w:rsidRPr="008E2873">
        <w:rPr>
          <w:rFonts w:hint="eastAsia"/>
          <w:sz w:val="28"/>
          <w:szCs w:val="28"/>
        </w:rPr>
        <w:t>、</w:t>
      </w:r>
      <w:r w:rsidRPr="008E2873">
        <w:rPr>
          <w:sz w:val="28"/>
          <w:szCs w:val="28"/>
        </w:rPr>
        <w:t>总体结论</w:t>
      </w:r>
    </w:p>
    <w:p w:rsidR="00324C71" w:rsidRPr="008E2873" w:rsidRDefault="006E00B7" w:rsidP="00F92B52">
      <w:pPr>
        <w:spacing w:line="360" w:lineRule="auto"/>
        <w:ind w:firstLineChars="200" w:firstLine="480"/>
        <w:rPr>
          <w:sz w:val="24"/>
        </w:rPr>
      </w:pPr>
      <w:r w:rsidRPr="008E2873">
        <w:rPr>
          <w:rFonts w:hint="eastAsia"/>
          <w:sz w:val="24"/>
        </w:rPr>
        <w:t>林芝经济开发区规划与西藏自治区、林芝市以及巴宜区相关规划相协调。规划实施后，将充分利用巴宜区良好的区位环境，变巴宜区域优势为产业优势，有利于推动全区产业升级和社会经济的发展，同时还将带动相关产业及周边地区的经济社会发展。经相应调整后，规划区选址、布局总体可行。区域资源及环境条件可支撑规划的实施。规划环评提出的减缓措施可有效减缓因规划区开发建设造成区域环境不良影响，有效的节约资源、能源，有利于“三废”的集中治理。从环保角度来看，规划方案是可行的。</w:t>
      </w:r>
    </w:p>
    <w:p w:rsidR="00324C71" w:rsidRPr="00324C71" w:rsidRDefault="00324C71" w:rsidP="00F92B52">
      <w:pPr>
        <w:spacing w:line="360" w:lineRule="auto"/>
        <w:ind w:firstLineChars="200" w:firstLine="480"/>
        <w:rPr>
          <w:sz w:val="24"/>
        </w:rPr>
      </w:pPr>
    </w:p>
    <w:p w:rsidR="000E666E" w:rsidRPr="000E666E" w:rsidRDefault="000E666E" w:rsidP="000E666E">
      <w:pPr>
        <w:rPr>
          <w:b/>
          <w:sz w:val="32"/>
          <w:szCs w:val="32"/>
        </w:rPr>
      </w:pPr>
    </w:p>
    <w:p w:rsidR="000E666E" w:rsidRPr="000E666E" w:rsidRDefault="000E666E" w:rsidP="000E666E"/>
    <w:sectPr w:rsidR="000E666E" w:rsidRPr="000E6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8A" w:rsidRDefault="00860E8A" w:rsidP="000E666E">
      <w:r>
        <w:separator/>
      </w:r>
    </w:p>
  </w:endnote>
  <w:endnote w:type="continuationSeparator" w:id="0">
    <w:p w:rsidR="00860E8A" w:rsidRDefault="00860E8A" w:rsidP="000E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8A" w:rsidRDefault="00860E8A" w:rsidP="000E666E">
      <w:r>
        <w:separator/>
      </w:r>
    </w:p>
  </w:footnote>
  <w:footnote w:type="continuationSeparator" w:id="0">
    <w:p w:rsidR="00860E8A" w:rsidRDefault="00860E8A" w:rsidP="000E6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F30"/>
    <w:multiLevelType w:val="multilevel"/>
    <w:tmpl w:val="BCB88750"/>
    <w:lvl w:ilvl="0">
      <w:start w:val="1"/>
      <w:numFmt w:val="decimal"/>
      <w:pStyle w:val="-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BB044D"/>
    <w:multiLevelType w:val="hybridMultilevel"/>
    <w:tmpl w:val="605899FA"/>
    <w:lvl w:ilvl="0" w:tplc="2E327A0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3912F67"/>
    <w:multiLevelType w:val="multilevel"/>
    <w:tmpl w:val="23912F67"/>
    <w:lvl w:ilvl="0">
      <w:start w:val="1"/>
      <w:numFmt w:val="decimal"/>
      <w:lvlText w:val="表8-%1"/>
      <w:lvlJc w:val="left"/>
      <w:pPr>
        <w:tabs>
          <w:tab w:val="num" w:pos="851"/>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0A"/>
    <w:rsid w:val="000D4382"/>
    <w:rsid w:val="000E666E"/>
    <w:rsid w:val="001E5649"/>
    <w:rsid w:val="00266E6F"/>
    <w:rsid w:val="00324C71"/>
    <w:rsid w:val="003A48F4"/>
    <w:rsid w:val="00405BDA"/>
    <w:rsid w:val="00514634"/>
    <w:rsid w:val="005C7C1D"/>
    <w:rsid w:val="006E00B7"/>
    <w:rsid w:val="006E4539"/>
    <w:rsid w:val="00860E8A"/>
    <w:rsid w:val="008E2873"/>
    <w:rsid w:val="00BF65A3"/>
    <w:rsid w:val="00CC270A"/>
    <w:rsid w:val="00DF080D"/>
    <w:rsid w:val="00E8148C"/>
    <w:rsid w:val="00F92B52"/>
    <w:rsid w:val="00FB6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6E5E3-0B41-4CB3-BDA6-DF0D88E4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66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E56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66E"/>
    <w:rPr>
      <w:sz w:val="18"/>
      <w:szCs w:val="18"/>
    </w:rPr>
  </w:style>
  <w:style w:type="paragraph" w:styleId="a4">
    <w:name w:val="footer"/>
    <w:basedOn w:val="a"/>
    <w:link w:val="Char0"/>
    <w:uiPriority w:val="99"/>
    <w:unhideWhenUsed/>
    <w:rsid w:val="000E666E"/>
    <w:pPr>
      <w:tabs>
        <w:tab w:val="center" w:pos="4153"/>
        <w:tab w:val="right" w:pos="8306"/>
      </w:tabs>
      <w:snapToGrid w:val="0"/>
      <w:jc w:val="left"/>
    </w:pPr>
    <w:rPr>
      <w:sz w:val="18"/>
      <w:szCs w:val="18"/>
    </w:rPr>
  </w:style>
  <w:style w:type="character" w:customStyle="1" w:styleId="Char0">
    <w:name w:val="页脚 Char"/>
    <w:basedOn w:val="a0"/>
    <w:link w:val="a4"/>
    <w:uiPriority w:val="99"/>
    <w:rsid w:val="000E666E"/>
    <w:rPr>
      <w:sz w:val="18"/>
      <w:szCs w:val="18"/>
    </w:rPr>
  </w:style>
  <w:style w:type="paragraph" w:customStyle="1" w:styleId="-">
    <w:name w:val="正文-蓝色"/>
    <w:basedOn w:val="a"/>
    <w:link w:val="-Char"/>
    <w:qFormat/>
    <w:rsid w:val="00324C71"/>
    <w:pPr>
      <w:adjustRightInd w:val="0"/>
      <w:spacing w:line="360" w:lineRule="auto"/>
      <w:ind w:firstLineChars="200" w:firstLine="480"/>
    </w:pPr>
    <w:rPr>
      <w:rFonts w:cs="Courier New"/>
      <w:color w:val="0000FF"/>
      <w:sz w:val="24"/>
      <w:szCs w:val="21"/>
    </w:rPr>
  </w:style>
  <w:style w:type="character" w:customStyle="1" w:styleId="-Char">
    <w:name w:val="正文-蓝色 Char"/>
    <w:link w:val="-"/>
    <w:rsid w:val="00324C71"/>
    <w:rPr>
      <w:rFonts w:ascii="Times New Roman" w:eastAsia="宋体" w:hAnsi="Times New Roman" w:cs="Courier New"/>
      <w:color w:val="0000FF"/>
      <w:sz w:val="24"/>
      <w:szCs w:val="21"/>
    </w:rPr>
  </w:style>
  <w:style w:type="paragraph" w:customStyle="1" w:styleId="-0">
    <w:name w:val="正文-欣欣"/>
    <w:basedOn w:val="a"/>
    <w:qFormat/>
    <w:rsid w:val="00324C71"/>
    <w:pPr>
      <w:adjustRightInd w:val="0"/>
      <w:spacing w:line="360" w:lineRule="auto"/>
      <w:ind w:firstLineChars="200" w:firstLine="200"/>
    </w:pPr>
    <w:rPr>
      <w:rFonts w:cs="Courier New"/>
      <w:sz w:val="24"/>
      <w:szCs w:val="21"/>
    </w:rPr>
  </w:style>
  <w:style w:type="character" w:styleId="a5">
    <w:name w:val="annotation reference"/>
    <w:uiPriority w:val="99"/>
    <w:rsid w:val="00324C71"/>
    <w:rPr>
      <w:sz w:val="21"/>
      <w:szCs w:val="21"/>
    </w:rPr>
  </w:style>
  <w:style w:type="paragraph" w:styleId="a6">
    <w:name w:val="annotation text"/>
    <w:basedOn w:val="a"/>
    <w:link w:val="Char1"/>
    <w:uiPriority w:val="99"/>
    <w:rsid w:val="00324C71"/>
    <w:pPr>
      <w:adjustRightInd w:val="0"/>
      <w:spacing w:line="360" w:lineRule="auto"/>
      <w:ind w:left="482"/>
      <w:jc w:val="left"/>
    </w:pPr>
    <w:rPr>
      <w:sz w:val="24"/>
    </w:rPr>
  </w:style>
  <w:style w:type="character" w:customStyle="1" w:styleId="Char1">
    <w:name w:val="批注文字 Char"/>
    <w:basedOn w:val="a0"/>
    <w:link w:val="a6"/>
    <w:uiPriority w:val="99"/>
    <w:rsid w:val="00324C71"/>
    <w:rPr>
      <w:rFonts w:ascii="Times New Roman" w:eastAsia="宋体" w:hAnsi="Times New Roman" w:cs="Times New Roman"/>
      <w:sz w:val="24"/>
      <w:szCs w:val="24"/>
    </w:rPr>
  </w:style>
  <w:style w:type="paragraph" w:customStyle="1" w:styleId="-1">
    <w:name w:val="正文-红色"/>
    <w:basedOn w:val="-0"/>
    <w:link w:val="-Char0"/>
    <w:qFormat/>
    <w:rsid w:val="00324C71"/>
    <w:pPr>
      <w:ind w:firstLine="480"/>
    </w:pPr>
    <w:rPr>
      <w:color w:val="FF0000"/>
    </w:rPr>
  </w:style>
  <w:style w:type="character" w:customStyle="1" w:styleId="-Char0">
    <w:name w:val="正文-红色 Char"/>
    <w:link w:val="-1"/>
    <w:rsid w:val="00324C71"/>
    <w:rPr>
      <w:rFonts w:ascii="Times New Roman" w:eastAsia="宋体" w:hAnsi="Times New Roman" w:cs="Courier New"/>
      <w:color w:val="FF0000"/>
      <w:sz w:val="24"/>
      <w:szCs w:val="21"/>
    </w:rPr>
  </w:style>
  <w:style w:type="paragraph" w:customStyle="1" w:styleId="111">
    <w:name w:val="样式 左侧:  1.11 厘米"/>
    <w:basedOn w:val="a"/>
    <w:uiPriority w:val="99"/>
    <w:rsid w:val="00324C71"/>
    <w:pPr>
      <w:tabs>
        <w:tab w:val="left" w:pos="0"/>
      </w:tabs>
      <w:spacing w:line="360" w:lineRule="auto"/>
      <w:ind w:left="629" w:firstLineChars="200" w:firstLine="200"/>
    </w:pPr>
    <w:rPr>
      <w:rFonts w:cs="宋体"/>
      <w:sz w:val="24"/>
      <w:szCs w:val="20"/>
    </w:rPr>
  </w:style>
  <w:style w:type="paragraph" w:styleId="a7">
    <w:name w:val="Balloon Text"/>
    <w:basedOn w:val="a"/>
    <w:link w:val="Char2"/>
    <w:uiPriority w:val="99"/>
    <w:semiHidden/>
    <w:unhideWhenUsed/>
    <w:rsid w:val="00324C71"/>
    <w:rPr>
      <w:sz w:val="18"/>
      <w:szCs w:val="18"/>
    </w:rPr>
  </w:style>
  <w:style w:type="character" w:customStyle="1" w:styleId="Char2">
    <w:name w:val="批注框文本 Char"/>
    <w:basedOn w:val="a0"/>
    <w:link w:val="a7"/>
    <w:uiPriority w:val="99"/>
    <w:semiHidden/>
    <w:rsid w:val="00324C71"/>
    <w:rPr>
      <w:rFonts w:ascii="Times New Roman" w:eastAsia="宋体" w:hAnsi="Times New Roman" w:cs="Times New Roman"/>
      <w:sz w:val="18"/>
      <w:szCs w:val="18"/>
    </w:rPr>
  </w:style>
  <w:style w:type="character" w:customStyle="1" w:styleId="Char3">
    <w:name w:val="表格内容 Char"/>
    <w:aliases w:val="纯文本1 Char,普通文字1 Char,普通文字 Char Char1 Char,普通文字 Char Char Char Char Char Char1 Char,普通文字 Char Char Char Char Char Char Char Char1 Char,普通文字 Char Char Char Char Char C Char Char1 Char,普通文字 Char Char Char Char Char Char Char1 Char"/>
    <w:link w:val="a8"/>
    <w:locked/>
    <w:rsid w:val="00324C71"/>
    <w:rPr>
      <w:szCs w:val="21"/>
    </w:rPr>
  </w:style>
  <w:style w:type="paragraph" w:customStyle="1" w:styleId="a8">
    <w:name w:val="表格内容"/>
    <w:basedOn w:val="a"/>
    <w:next w:val="a"/>
    <w:link w:val="Char3"/>
    <w:qFormat/>
    <w:rsid w:val="00324C71"/>
    <w:pPr>
      <w:adjustRightInd w:val="0"/>
      <w:jc w:val="center"/>
    </w:pPr>
    <w:rPr>
      <w:rFonts w:asciiTheme="minorHAnsi" w:eastAsiaTheme="minorEastAsia" w:hAnsiTheme="minorHAnsi" w:cstheme="minorBidi"/>
      <w:szCs w:val="21"/>
    </w:rPr>
  </w:style>
  <w:style w:type="paragraph" w:customStyle="1" w:styleId="-8">
    <w:name w:val="表格标题-8"/>
    <w:basedOn w:val="a"/>
    <w:next w:val="a"/>
    <w:rsid w:val="00324C71"/>
    <w:pPr>
      <w:numPr>
        <w:numId w:val="2"/>
      </w:numPr>
      <w:tabs>
        <w:tab w:val="left" w:pos="851"/>
      </w:tabs>
      <w:adjustRightInd w:val="0"/>
      <w:snapToGrid w:val="0"/>
      <w:spacing w:line="360" w:lineRule="auto"/>
      <w:jc w:val="center"/>
    </w:pPr>
    <w:rPr>
      <w:rFonts w:eastAsia="黑体" w:hAnsi="Calibri"/>
      <w:sz w:val="24"/>
    </w:rPr>
  </w:style>
  <w:style w:type="character" w:customStyle="1" w:styleId="1Char">
    <w:name w:val="标题 1 Char"/>
    <w:basedOn w:val="a0"/>
    <w:link w:val="1"/>
    <w:uiPriority w:val="9"/>
    <w:rsid w:val="001E5649"/>
    <w:rPr>
      <w:rFonts w:ascii="Times New Roman" w:eastAsia="宋体" w:hAnsi="Times New Roman" w:cs="Times New Roman"/>
      <w:b/>
      <w:bCs/>
      <w:kern w:val="44"/>
      <w:sz w:val="44"/>
      <w:szCs w:val="44"/>
    </w:rPr>
  </w:style>
  <w:style w:type="paragraph" w:customStyle="1" w:styleId="-2">
    <w:name w:val="说明-正文"/>
    <w:basedOn w:val="a"/>
    <w:rsid w:val="00FB66EE"/>
    <w:pPr>
      <w:spacing w:afterLines="100" w:after="312"/>
      <w:ind w:firstLineChars="200" w:firstLine="480"/>
      <w:jc w:val="left"/>
    </w:pPr>
    <w:rPr>
      <w:rFonts w:ascii="Calibri" w:hAnsi="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14</Pages>
  <Words>1589</Words>
  <Characters>9063</Characters>
  <Application>Microsoft Office Word</Application>
  <DocSecurity>0</DocSecurity>
  <Lines>75</Lines>
  <Paragraphs>21</Paragraphs>
  <ScaleCrop>false</ScaleCrop>
  <Company>微软中国</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dcterms:created xsi:type="dcterms:W3CDTF">2019-04-25T01:51:00Z</dcterms:created>
  <dcterms:modified xsi:type="dcterms:W3CDTF">2019-08-19T08:01:00Z</dcterms:modified>
</cp:coreProperties>
</file>